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59E9E" w14:textId="77777777" w:rsidR="002B51FA" w:rsidRDefault="002B51FA"/>
    <w:p w14:paraId="37459E9F" w14:textId="3C3AF5CB" w:rsidR="002B51FA" w:rsidRDefault="00EE142C">
      <w:pPr>
        <w:spacing w:after="60"/>
      </w:pPr>
      <w:r>
        <w:rPr>
          <w:color w:val="C0332F"/>
          <w:spacing w:val="40"/>
          <w:sz w:val="18"/>
          <w:szCs w:val="18"/>
        </w:rPr>
        <w:t>KENTUCKY DEPARTMENT FOR PUBLIC HEALTH</w:t>
      </w:r>
      <w:r w:rsidR="005B1E71">
        <w:rPr>
          <w:color w:val="C0332F"/>
          <w:spacing w:val="40"/>
          <w:sz w:val="18"/>
          <w:szCs w:val="18"/>
        </w:rPr>
        <w:t xml:space="preserve"> &amp; University of Kentucky Veterinary Diagnostic Laboratory</w:t>
      </w:r>
      <w:r w:rsidR="00B50A6C">
        <w:rPr>
          <w:color w:val="C0332F"/>
          <w:spacing w:val="40"/>
          <w:sz w:val="18"/>
          <w:szCs w:val="18"/>
        </w:rPr>
        <w:t xml:space="preserve"> EPIDEMIOLOGY</w:t>
      </w:r>
    </w:p>
    <w:p w14:paraId="37459EA0" w14:textId="77777777" w:rsidR="002B51FA" w:rsidRDefault="00EE142C">
      <w:pPr>
        <w:spacing w:after="40"/>
      </w:pPr>
      <w:r>
        <w:rPr>
          <w:rFonts w:ascii="Georgia" w:eastAsia="Georgia" w:hAnsi="Georgia" w:cs="Georgia"/>
          <w:b/>
          <w:bCs/>
          <w:color w:val="1A1A1A"/>
          <w:sz w:val="56"/>
          <w:szCs w:val="56"/>
        </w:rPr>
        <w:t>Rabies Surveillance in Kentucky</w:t>
      </w:r>
    </w:p>
    <w:p w14:paraId="37459EA1" w14:textId="77777777" w:rsidR="002B51FA" w:rsidRDefault="00EE142C">
      <w:pPr>
        <w:spacing w:after="200"/>
      </w:pPr>
      <w:r>
        <w:rPr>
          <w:rFonts w:ascii="Georgia" w:eastAsia="Georgia" w:hAnsi="Georgia" w:cs="Georgia"/>
          <w:i/>
          <w:iCs/>
          <w:color w:val="666666"/>
        </w:rPr>
        <w:t>A 37-year analysis of animal specimen testing, geographic distribution, and seasonal patterns · 1989–2026</w:t>
      </w:r>
    </w:p>
    <w:p w14:paraId="37459EA2" w14:textId="77777777" w:rsidR="002B51FA" w:rsidRDefault="002B51FA">
      <w:pPr>
        <w:pBdr>
          <w:bottom w:val="single" w:sz="4" w:space="1" w:color="1A1A1A"/>
        </w:pBdr>
      </w:pPr>
    </w:p>
    <w:p w14:paraId="37459EA3" w14:textId="77777777" w:rsidR="002B51FA" w:rsidRDefault="002B51FA">
      <w:pPr>
        <w:spacing w:before="10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20"/>
        <w:gridCol w:w="2520"/>
        <w:gridCol w:w="2520"/>
        <w:gridCol w:w="2520"/>
      </w:tblGrid>
      <w:tr w:rsidR="002B51FA" w14:paraId="37459EAC" w14:textId="77777777">
        <w:tblPrEx>
          <w:tblCellMar>
            <w:top w:w="0" w:type="dxa"/>
            <w:bottom w:w="0" w:type="dxa"/>
          </w:tblCellMar>
        </w:tblPrEx>
        <w:tc>
          <w:tcPr>
            <w:tcW w:w="2520" w:type="dxa"/>
            <w:shd w:val="clear" w:color="auto" w:fill="FFFFFF"/>
            <w:tcMar>
              <w:top w:w="60" w:type="dxa"/>
              <w:left w:w="0" w:type="dxa"/>
              <w:bottom w:w="60" w:type="dxa"/>
              <w:right w:w="0" w:type="dxa"/>
            </w:tcMar>
          </w:tcPr>
          <w:p w14:paraId="37459EA4" w14:textId="77777777" w:rsidR="002B51FA" w:rsidRDefault="00EE142C">
            <w:r>
              <w:rPr>
                <w:color w:val="666666"/>
                <w:spacing w:val="20"/>
                <w:sz w:val="14"/>
                <w:szCs w:val="14"/>
              </w:rPr>
              <w:t>REPORT DATE</w:t>
            </w:r>
          </w:p>
          <w:p w14:paraId="37459EA5" w14:textId="77777777" w:rsidR="002B51FA" w:rsidRDefault="00EE142C">
            <w:r>
              <w:rPr>
                <w:b/>
                <w:bCs/>
                <w:color w:val="1A1A1A"/>
                <w:sz w:val="20"/>
                <w:szCs w:val="20"/>
              </w:rPr>
              <w:t>May 22, 2026</w:t>
            </w:r>
          </w:p>
        </w:tc>
        <w:tc>
          <w:tcPr>
            <w:tcW w:w="2520" w:type="dxa"/>
            <w:shd w:val="clear" w:color="auto" w:fill="FFFFFF"/>
            <w:tcMar>
              <w:top w:w="60" w:type="dxa"/>
              <w:left w:w="0" w:type="dxa"/>
              <w:bottom w:w="60" w:type="dxa"/>
              <w:right w:w="0" w:type="dxa"/>
            </w:tcMar>
          </w:tcPr>
          <w:p w14:paraId="37459EA6" w14:textId="77777777" w:rsidR="002B51FA" w:rsidRDefault="00EE142C">
            <w:r>
              <w:rPr>
                <w:color w:val="666666"/>
                <w:spacing w:val="20"/>
                <w:sz w:val="14"/>
                <w:szCs w:val="14"/>
              </w:rPr>
              <w:t>DATA SOURCE</w:t>
            </w:r>
          </w:p>
          <w:p w14:paraId="37459EA7" w14:textId="77777777" w:rsidR="002B51FA" w:rsidRDefault="00EE142C">
            <w:r>
              <w:rPr>
                <w:b/>
                <w:bCs/>
                <w:color w:val="1A1A1A"/>
                <w:sz w:val="20"/>
                <w:szCs w:val="20"/>
              </w:rPr>
              <w:t>KY Rabies Testing DB</w:t>
            </w:r>
          </w:p>
        </w:tc>
        <w:tc>
          <w:tcPr>
            <w:tcW w:w="2520" w:type="dxa"/>
            <w:shd w:val="clear" w:color="auto" w:fill="FFFFFF"/>
            <w:tcMar>
              <w:top w:w="60" w:type="dxa"/>
              <w:left w:w="0" w:type="dxa"/>
              <w:bottom w:w="60" w:type="dxa"/>
              <w:right w:w="0" w:type="dxa"/>
            </w:tcMar>
          </w:tcPr>
          <w:p w14:paraId="37459EA8" w14:textId="77777777" w:rsidR="002B51FA" w:rsidRDefault="00EE142C">
            <w:r>
              <w:rPr>
                <w:color w:val="666666"/>
                <w:spacing w:val="20"/>
                <w:sz w:val="14"/>
                <w:szCs w:val="14"/>
              </w:rPr>
              <w:t>RECORDS ANALYZED</w:t>
            </w:r>
          </w:p>
          <w:p w14:paraId="37459EA9" w14:textId="77777777" w:rsidR="002B51FA" w:rsidRDefault="00EE142C">
            <w:r>
              <w:rPr>
                <w:b/>
                <w:bCs/>
                <w:color w:val="1A1A1A"/>
                <w:sz w:val="20"/>
                <w:szCs w:val="20"/>
              </w:rPr>
              <w:t>39,967 specimens</w:t>
            </w:r>
          </w:p>
        </w:tc>
        <w:tc>
          <w:tcPr>
            <w:tcW w:w="2520" w:type="dxa"/>
            <w:shd w:val="clear" w:color="auto" w:fill="FFFFFF"/>
            <w:tcMar>
              <w:top w:w="60" w:type="dxa"/>
              <w:left w:w="0" w:type="dxa"/>
              <w:bottom w:w="60" w:type="dxa"/>
              <w:right w:w="0" w:type="dxa"/>
            </w:tcMar>
          </w:tcPr>
          <w:p w14:paraId="37459EAA" w14:textId="77777777" w:rsidR="002B51FA" w:rsidRDefault="00EE142C">
            <w:r>
              <w:rPr>
                <w:color w:val="666666"/>
                <w:spacing w:val="20"/>
                <w:sz w:val="14"/>
                <w:szCs w:val="14"/>
              </w:rPr>
              <w:t>COVERAGE</w:t>
            </w:r>
          </w:p>
          <w:p w14:paraId="37459EAB" w14:textId="77777777" w:rsidR="002B51FA" w:rsidRDefault="00EE142C">
            <w:r>
              <w:rPr>
                <w:b/>
                <w:bCs/>
                <w:color w:val="1A1A1A"/>
                <w:sz w:val="20"/>
                <w:szCs w:val="20"/>
              </w:rPr>
              <w:t>All 120 KY counties</w:t>
            </w:r>
          </w:p>
        </w:tc>
      </w:tr>
    </w:tbl>
    <w:p w14:paraId="37459EAD" w14:textId="77777777" w:rsidR="002B51FA" w:rsidRDefault="002B51FA">
      <w:pPr>
        <w:spacing w:before="20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20"/>
        <w:gridCol w:w="2520"/>
        <w:gridCol w:w="2520"/>
        <w:gridCol w:w="2520"/>
      </w:tblGrid>
      <w:tr w:rsidR="002B51FA" w14:paraId="37459EB6" w14:textId="77777777">
        <w:tblPrEx>
          <w:tblCellMar>
            <w:top w:w="0" w:type="dxa"/>
            <w:bottom w:w="0" w:type="dxa"/>
          </w:tblCellMar>
        </w:tblPrEx>
        <w:tc>
          <w:tcPr>
            <w:tcW w:w="2520" w:type="dxa"/>
            <w:tcBorders>
              <w:top w:val="single" w:sz="1" w:space="0" w:color="D0CDC8"/>
              <w:left w:val="single" w:sz="1" w:space="0" w:color="D0CDC8"/>
              <w:bottom w:val="single" w:sz="1" w:space="0" w:color="D0CDC8"/>
              <w:right w:val="single" w:sz="1" w:space="0" w:color="D0CDC8"/>
            </w:tcBorders>
            <w:shd w:val="clear" w:color="auto" w:fill="FAFAF8"/>
            <w:tcMar>
              <w:top w:w="120" w:type="dxa"/>
              <w:left w:w="120" w:type="dxa"/>
              <w:bottom w:w="120" w:type="dxa"/>
              <w:right w:w="120" w:type="dxa"/>
            </w:tcMar>
            <w:vAlign w:val="center"/>
          </w:tcPr>
          <w:p w14:paraId="37459EAE" w14:textId="77777777" w:rsidR="002B51FA" w:rsidRDefault="00EE142C">
            <w:pPr>
              <w:jc w:val="center"/>
            </w:pPr>
            <w:r>
              <w:rPr>
                <w:rFonts w:ascii="Georgia" w:eastAsia="Georgia" w:hAnsi="Georgia" w:cs="Georgia"/>
                <w:b/>
                <w:bCs/>
                <w:color w:val="185FA5"/>
                <w:sz w:val="48"/>
                <w:szCs w:val="48"/>
              </w:rPr>
              <w:t>39,967</w:t>
            </w:r>
          </w:p>
          <w:p w14:paraId="37459EAF" w14:textId="77777777" w:rsidR="002B51FA" w:rsidRDefault="00EE142C">
            <w:pPr>
              <w:spacing w:before="40"/>
              <w:jc w:val="center"/>
            </w:pPr>
            <w:r>
              <w:rPr>
                <w:color w:val="666666"/>
                <w:spacing w:val="20"/>
                <w:sz w:val="14"/>
                <w:szCs w:val="14"/>
              </w:rPr>
              <w:t>TOTAL SPECIMENS</w:t>
            </w:r>
          </w:p>
        </w:tc>
        <w:tc>
          <w:tcPr>
            <w:tcW w:w="2520" w:type="dxa"/>
            <w:tcBorders>
              <w:top w:val="single" w:sz="1" w:space="0" w:color="D0CDC8"/>
              <w:left w:val="single" w:sz="1" w:space="0" w:color="D0CDC8"/>
              <w:bottom w:val="single" w:sz="1" w:space="0" w:color="D0CDC8"/>
              <w:right w:val="single" w:sz="1" w:space="0" w:color="D0CDC8"/>
            </w:tcBorders>
            <w:shd w:val="clear" w:color="auto" w:fill="FAFAF8"/>
            <w:tcMar>
              <w:top w:w="120" w:type="dxa"/>
              <w:left w:w="120" w:type="dxa"/>
              <w:bottom w:w="120" w:type="dxa"/>
              <w:right w:w="120" w:type="dxa"/>
            </w:tcMar>
            <w:vAlign w:val="center"/>
          </w:tcPr>
          <w:p w14:paraId="37459EB0" w14:textId="77777777" w:rsidR="002B51FA" w:rsidRDefault="00EE142C">
            <w:pPr>
              <w:jc w:val="center"/>
            </w:pPr>
            <w:r>
              <w:rPr>
                <w:rFonts w:ascii="Georgia" w:eastAsia="Georgia" w:hAnsi="Georgia" w:cs="Georgia"/>
                <w:b/>
                <w:bCs/>
                <w:color w:val="C0332F"/>
                <w:sz w:val="48"/>
                <w:szCs w:val="48"/>
              </w:rPr>
              <w:t>935</w:t>
            </w:r>
          </w:p>
          <w:p w14:paraId="37459EB1" w14:textId="77777777" w:rsidR="002B51FA" w:rsidRDefault="00EE142C">
            <w:pPr>
              <w:spacing w:before="40"/>
              <w:jc w:val="center"/>
            </w:pPr>
            <w:r>
              <w:rPr>
                <w:color w:val="666666"/>
                <w:spacing w:val="20"/>
                <w:sz w:val="14"/>
                <w:szCs w:val="14"/>
              </w:rPr>
              <w:t>POSITIVE CASES</w:t>
            </w:r>
          </w:p>
        </w:tc>
        <w:tc>
          <w:tcPr>
            <w:tcW w:w="2520" w:type="dxa"/>
            <w:tcBorders>
              <w:top w:val="single" w:sz="1" w:space="0" w:color="D0CDC8"/>
              <w:left w:val="single" w:sz="1" w:space="0" w:color="D0CDC8"/>
              <w:bottom w:val="single" w:sz="1" w:space="0" w:color="D0CDC8"/>
              <w:right w:val="single" w:sz="1" w:space="0" w:color="D0CDC8"/>
            </w:tcBorders>
            <w:shd w:val="clear" w:color="auto" w:fill="FAFAF8"/>
            <w:tcMar>
              <w:top w:w="120" w:type="dxa"/>
              <w:left w:w="120" w:type="dxa"/>
              <w:bottom w:w="120" w:type="dxa"/>
              <w:right w:w="120" w:type="dxa"/>
            </w:tcMar>
            <w:vAlign w:val="center"/>
          </w:tcPr>
          <w:p w14:paraId="37459EB2" w14:textId="77777777" w:rsidR="002B51FA" w:rsidRDefault="00EE142C">
            <w:pPr>
              <w:jc w:val="center"/>
            </w:pPr>
            <w:r>
              <w:rPr>
                <w:rFonts w:ascii="Georgia" w:eastAsia="Georgia" w:hAnsi="Georgia" w:cs="Georgia"/>
                <w:b/>
                <w:bCs/>
                <w:color w:val="3B6D11"/>
                <w:sz w:val="48"/>
                <w:szCs w:val="48"/>
              </w:rPr>
              <w:t>2.3%</w:t>
            </w:r>
          </w:p>
          <w:p w14:paraId="37459EB3" w14:textId="77777777" w:rsidR="002B51FA" w:rsidRDefault="00EE142C">
            <w:pPr>
              <w:spacing w:before="40"/>
              <w:jc w:val="center"/>
            </w:pPr>
            <w:r>
              <w:rPr>
                <w:color w:val="666666"/>
                <w:spacing w:val="20"/>
                <w:sz w:val="14"/>
                <w:szCs w:val="14"/>
              </w:rPr>
              <w:t>POSITIVE RATE</w:t>
            </w:r>
          </w:p>
        </w:tc>
        <w:tc>
          <w:tcPr>
            <w:tcW w:w="2520" w:type="dxa"/>
            <w:tcBorders>
              <w:top w:val="single" w:sz="1" w:space="0" w:color="D0CDC8"/>
              <w:left w:val="single" w:sz="1" w:space="0" w:color="D0CDC8"/>
              <w:bottom w:val="single" w:sz="1" w:space="0" w:color="D0CDC8"/>
              <w:right w:val="single" w:sz="1" w:space="0" w:color="D0CDC8"/>
            </w:tcBorders>
            <w:shd w:val="clear" w:color="auto" w:fill="FAFAF8"/>
            <w:tcMar>
              <w:top w:w="120" w:type="dxa"/>
              <w:left w:w="120" w:type="dxa"/>
              <w:bottom w:w="120" w:type="dxa"/>
              <w:right w:w="120" w:type="dxa"/>
            </w:tcMar>
            <w:vAlign w:val="center"/>
          </w:tcPr>
          <w:p w14:paraId="37459EB4" w14:textId="77777777" w:rsidR="002B51FA" w:rsidRDefault="00EE142C">
            <w:pPr>
              <w:jc w:val="center"/>
            </w:pPr>
            <w:r>
              <w:rPr>
                <w:rFonts w:ascii="Georgia" w:eastAsia="Georgia" w:hAnsi="Georgia" w:cs="Georgia"/>
                <w:b/>
                <w:bCs/>
                <w:color w:val="854F0B"/>
                <w:sz w:val="48"/>
                <w:szCs w:val="48"/>
              </w:rPr>
              <w:t>1989</w:t>
            </w:r>
          </w:p>
          <w:p w14:paraId="37459EB5" w14:textId="77777777" w:rsidR="002B51FA" w:rsidRDefault="00EE142C">
            <w:pPr>
              <w:spacing w:before="40"/>
              <w:jc w:val="center"/>
            </w:pPr>
            <w:r>
              <w:rPr>
                <w:color w:val="666666"/>
                <w:spacing w:val="20"/>
                <w:sz w:val="14"/>
                <w:szCs w:val="14"/>
              </w:rPr>
              <w:t>PEAK YEAR (135)</w:t>
            </w:r>
          </w:p>
        </w:tc>
      </w:tr>
    </w:tbl>
    <w:p w14:paraId="37459EB7" w14:textId="77777777" w:rsidR="002B51FA" w:rsidRDefault="00EE142C">
      <w:pPr>
        <w:pStyle w:val="Heading1"/>
        <w:pBdr>
          <w:bottom w:val="single" w:sz="8" w:space="4" w:color="1A1A1A"/>
        </w:pBdr>
      </w:pPr>
      <w:r>
        <w:t>Executive Summary</w:t>
      </w:r>
    </w:p>
    <w:p w14:paraId="37459EB8" w14:textId="77777777" w:rsidR="002B51FA" w:rsidRDefault="00EE142C">
      <w:pPr>
        <w:spacing w:before="60" w:after="120"/>
      </w:pPr>
      <w:r>
        <w:rPr>
          <w:rFonts w:ascii="Georgia" w:eastAsia="Georgia" w:hAnsi="Georgia" w:cs="Georgia"/>
          <w:color w:val="444444"/>
        </w:rPr>
        <w:t xml:space="preserve">This report synthesizes 37 years of animal rabies testing data collected by the Kentucky Department for Public Health. Between 1989 and May 2026, </w:t>
      </w:r>
      <w:r>
        <w:rPr>
          <w:rFonts w:ascii="Georgia" w:eastAsia="Georgia" w:hAnsi="Georgia" w:cs="Georgia"/>
          <w:b/>
          <w:bCs/>
          <w:color w:val="1A1A1A"/>
        </w:rPr>
        <w:t>39,967 animal specimens</w:t>
      </w:r>
      <w:r>
        <w:rPr>
          <w:rFonts w:ascii="Georgia" w:eastAsia="Georgia" w:hAnsi="Georgia" w:cs="Georgia"/>
          <w:color w:val="444444"/>
        </w:rPr>
        <w:t xml:space="preserve"> were submitted for rabies testing across all 120 Kentucky counties, yielding </w:t>
      </w:r>
      <w:r>
        <w:rPr>
          <w:rFonts w:ascii="Georgia" w:eastAsia="Georgia" w:hAnsi="Georgia" w:cs="Georgia"/>
          <w:b/>
          <w:bCs/>
          <w:color w:val="1A1A1A"/>
        </w:rPr>
        <w:t>935 confirmed positive cases</w:t>
      </w:r>
      <w:r>
        <w:rPr>
          <w:rFonts w:ascii="Georgia" w:eastAsia="Georgia" w:hAnsi="Georgia" w:cs="Georgia"/>
          <w:color w:val="444444"/>
        </w:rPr>
        <w:t xml:space="preserve"> — an overall positivity rate of 2.3%.</w:t>
      </w:r>
    </w:p>
    <w:p w14:paraId="37459EB9" w14:textId="77777777" w:rsidR="002B51FA" w:rsidRDefault="00EE142C">
      <w:pPr>
        <w:spacing w:before="60" w:after="120"/>
      </w:pPr>
      <w:r>
        <w:rPr>
          <w:rFonts w:ascii="Georgia" w:eastAsia="Georgia" w:hAnsi="Georgia" w:cs="Georgia"/>
          <w:color w:val="444444"/>
        </w:rPr>
        <w:t>Surveillance activity and positive case counts have changed substantially over time. A major outbreak peak in 1989 recorded 135 positives in a single year. Since then, annual counts have stabilized at 10–26 positives per year, suggesting improved population-level immunity and more consistent exposure management.</w:t>
      </w:r>
    </w:p>
    <w:p w14:paraId="37459EBA" w14:textId="77777777" w:rsidR="002B51FA" w:rsidRDefault="00EE142C">
      <w:pPr>
        <w:spacing w:before="60" w:after="120"/>
      </w:pPr>
      <w:r>
        <w:rPr>
          <w:rFonts w:ascii="Georgia" w:eastAsia="Georgia" w:hAnsi="Georgia" w:cs="Georgia"/>
          <w:color w:val="444444"/>
        </w:rPr>
        <w:t xml:space="preserve">The data reveal two distinct risk windows: a </w:t>
      </w:r>
      <w:r>
        <w:rPr>
          <w:rFonts w:ascii="Georgia" w:eastAsia="Georgia" w:hAnsi="Georgia" w:cs="Georgia"/>
          <w:b/>
          <w:bCs/>
          <w:color w:val="1A1A1A"/>
        </w:rPr>
        <w:t>spring peak in positivity rate</w:t>
      </w:r>
      <w:r>
        <w:rPr>
          <w:rFonts w:ascii="Georgia" w:eastAsia="Georgia" w:hAnsi="Georgia" w:cs="Georgia"/>
          <w:color w:val="444444"/>
        </w:rPr>
        <w:t xml:space="preserve"> (March–April, ~3.1%) driven by post-hibernation wildlife activity, and a </w:t>
      </w:r>
      <w:r>
        <w:rPr>
          <w:rFonts w:ascii="Georgia" w:eastAsia="Georgia" w:hAnsi="Georgia" w:cs="Georgia"/>
          <w:b/>
          <w:bCs/>
          <w:color w:val="1A1A1A"/>
        </w:rPr>
        <w:t>summer peak in raw case volume</w:t>
      </w:r>
      <w:r>
        <w:rPr>
          <w:rFonts w:ascii="Georgia" w:eastAsia="Georgia" w:hAnsi="Georgia" w:cs="Georgia"/>
          <w:color w:val="444444"/>
        </w:rPr>
        <w:t xml:space="preserve"> (August, 129 cases historically) driven by elevated human-wildlife contact.</w:t>
      </w:r>
    </w:p>
    <w:p w14:paraId="37459EBB" w14:textId="77777777" w:rsidR="002B51FA" w:rsidRDefault="00EE142C">
      <w:pPr>
        <w:spacing w:before="60" w:after="120"/>
      </w:pPr>
      <w:r>
        <w:rPr>
          <w:rFonts w:ascii="Georgia" w:eastAsia="Georgia" w:hAnsi="Georgia" w:cs="Georgia"/>
          <w:color w:val="444444"/>
        </w:rPr>
        <w:t xml:space="preserve">Geographically, </w:t>
      </w:r>
      <w:r>
        <w:rPr>
          <w:rFonts w:ascii="Georgia" w:eastAsia="Georgia" w:hAnsi="Georgia" w:cs="Georgia"/>
          <w:b/>
          <w:bCs/>
          <w:color w:val="1A1A1A"/>
        </w:rPr>
        <w:t>Fayette County (Lexington)</w:t>
      </w:r>
      <w:r>
        <w:rPr>
          <w:rFonts w:ascii="Georgia" w:eastAsia="Georgia" w:hAnsi="Georgia" w:cs="Georgia"/>
          <w:color w:val="444444"/>
        </w:rPr>
        <w:t xml:space="preserve"> accounts for the highest burden with 114 confirmed positives — more than twice the next-highest county. Central Bluegrass counties (Woodford, Madison, Scott, Mercer, Jessamine) form a consistent high-risk cluster.</w:t>
      </w:r>
    </w:p>
    <w:p w14:paraId="37459EBC" w14:textId="77777777" w:rsidR="002B51FA" w:rsidRDefault="00EE142C">
      <w:pPr>
        <w:pStyle w:val="Heading1"/>
        <w:pBdr>
          <w:bottom w:val="single" w:sz="8" w:space="4" w:color="1A1A1A"/>
        </w:pBdr>
      </w:pPr>
      <w:r>
        <w:t>Key Findings</w:t>
      </w:r>
    </w:p>
    <w:p w14:paraId="37459EBD" w14:textId="77777777" w:rsidR="002B51FA" w:rsidRDefault="002B51FA">
      <w:pPr>
        <w:spacing w:before="4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9480"/>
      </w:tblGrid>
      <w:tr w:rsidR="002B51FA" w14:paraId="37459EC0" w14:textId="77777777">
        <w:tc>
          <w:tcPr>
            <w:tcW w:w="600" w:type="dxa"/>
            <w:tcBorders>
              <w:top w:val="single" w:sz="1" w:space="0" w:color="D0CDC8"/>
              <w:bottom w:val="single" w:sz="1" w:space="0" w:color="D0CDC8"/>
            </w:tcBorders>
            <w:shd w:val="clear" w:color="auto" w:fill="FAFAF8"/>
            <w:tcMar>
              <w:top w:w="100" w:type="dxa"/>
              <w:left w:w="0" w:type="dxa"/>
              <w:bottom w:w="100" w:type="dxa"/>
              <w:right w:w="120" w:type="dxa"/>
            </w:tcMar>
          </w:tcPr>
          <w:p w14:paraId="37459EBE" w14:textId="77777777" w:rsidR="002B51FA" w:rsidRDefault="00EE142C">
            <w:pPr>
              <w:jc w:val="right"/>
            </w:pPr>
            <w:r>
              <w:rPr>
                <w:rFonts w:ascii="Georgia" w:eastAsia="Georgia" w:hAnsi="Georgia" w:cs="Georgia"/>
                <w:b/>
                <w:bCs/>
                <w:color w:val="C0332F"/>
                <w:sz w:val="28"/>
                <w:szCs w:val="28"/>
              </w:rPr>
              <w:t>1</w:t>
            </w:r>
          </w:p>
        </w:tc>
        <w:tc>
          <w:tcPr>
            <w:tcW w:w="9480" w:type="dxa"/>
            <w:tcBorders>
              <w:top w:val="single" w:sz="1" w:space="0" w:color="D0CDC8"/>
              <w:bottom w:val="single" w:sz="1" w:space="0" w:color="D0CDC8"/>
            </w:tcBorders>
            <w:shd w:val="clear" w:color="auto" w:fill="FAFAF8"/>
            <w:tcMar>
              <w:top w:w="100" w:type="dxa"/>
              <w:left w:w="120" w:type="dxa"/>
              <w:bottom w:w="100" w:type="dxa"/>
              <w:right w:w="0" w:type="dxa"/>
            </w:tcMar>
          </w:tcPr>
          <w:p w14:paraId="37459EBF" w14:textId="77777777" w:rsidR="002B51FA" w:rsidRDefault="00EE142C">
            <w:r>
              <w:rPr>
                <w:rFonts w:ascii="Georgia" w:eastAsia="Georgia" w:hAnsi="Georgia" w:cs="Georgia"/>
                <w:b/>
                <w:bCs/>
                <w:color w:val="1A1A1A"/>
              </w:rPr>
              <w:t xml:space="preserve">Declining trend since 1989.  </w:t>
            </w:r>
            <w:r>
              <w:rPr>
                <w:rFonts w:ascii="Georgia" w:eastAsia="Georgia" w:hAnsi="Georgia" w:cs="Georgia"/>
                <w:color w:val="444444"/>
              </w:rPr>
              <w:t xml:space="preserve"> Annual positive cases peaked at 135 in 1989 and have since stabilized at 10–26 per year. However, 2024–2025 show the highest recent counts (23 and 26 respectively), warranting continued monitoring.</w:t>
            </w:r>
          </w:p>
        </w:tc>
      </w:tr>
    </w:tbl>
    <w:p w14:paraId="37459EC1" w14:textId="77777777" w:rsidR="002B51FA" w:rsidRDefault="002B51FA">
      <w:pPr>
        <w:spacing w:before="8"/>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9480"/>
      </w:tblGrid>
      <w:tr w:rsidR="002B51FA" w14:paraId="37459EC4" w14:textId="77777777">
        <w:tc>
          <w:tcPr>
            <w:tcW w:w="600" w:type="dxa"/>
            <w:tcBorders>
              <w:top w:val="single" w:sz="1" w:space="0" w:color="D0CDC8"/>
              <w:bottom w:val="single" w:sz="1" w:space="0" w:color="D0CDC8"/>
            </w:tcBorders>
            <w:shd w:val="clear" w:color="auto" w:fill="FAFAF8"/>
            <w:tcMar>
              <w:top w:w="100" w:type="dxa"/>
              <w:left w:w="0" w:type="dxa"/>
              <w:bottom w:w="100" w:type="dxa"/>
              <w:right w:w="120" w:type="dxa"/>
            </w:tcMar>
          </w:tcPr>
          <w:p w14:paraId="37459EC2" w14:textId="77777777" w:rsidR="002B51FA" w:rsidRDefault="00EE142C">
            <w:pPr>
              <w:jc w:val="right"/>
            </w:pPr>
            <w:r>
              <w:rPr>
                <w:rFonts w:ascii="Georgia" w:eastAsia="Georgia" w:hAnsi="Georgia" w:cs="Georgia"/>
                <w:b/>
                <w:bCs/>
                <w:color w:val="C0332F"/>
                <w:sz w:val="28"/>
                <w:szCs w:val="28"/>
              </w:rPr>
              <w:t>2</w:t>
            </w:r>
          </w:p>
        </w:tc>
        <w:tc>
          <w:tcPr>
            <w:tcW w:w="9480" w:type="dxa"/>
            <w:tcBorders>
              <w:top w:val="single" w:sz="1" w:space="0" w:color="D0CDC8"/>
              <w:bottom w:val="single" w:sz="1" w:space="0" w:color="D0CDC8"/>
            </w:tcBorders>
            <w:shd w:val="clear" w:color="auto" w:fill="FAFAF8"/>
            <w:tcMar>
              <w:top w:w="100" w:type="dxa"/>
              <w:left w:w="120" w:type="dxa"/>
              <w:bottom w:w="100" w:type="dxa"/>
              <w:right w:w="0" w:type="dxa"/>
            </w:tcMar>
          </w:tcPr>
          <w:p w14:paraId="37459EC3" w14:textId="77777777" w:rsidR="002B51FA" w:rsidRDefault="00EE142C">
            <w:r>
              <w:rPr>
                <w:rFonts w:ascii="Georgia" w:eastAsia="Georgia" w:hAnsi="Georgia" w:cs="Georgia"/>
                <w:b/>
                <w:bCs/>
                <w:color w:val="1A1A1A"/>
              </w:rPr>
              <w:t xml:space="preserve">Stable positivity rate.  </w:t>
            </w:r>
            <w:r>
              <w:rPr>
                <w:rFonts w:ascii="Georgia" w:eastAsia="Georgia" w:hAnsi="Georgia" w:cs="Georgia"/>
                <w:color w:val="444444"/>
              </w:rPr>
              <w:t xml:space="preserve"> Despite fluctuating testing volumes, the positive rate has held steady at approximately 2% since 2010, suggesting consistent surveillance coverage rather than a growing epidemic.</w:t>
            </w:r>
          </w:p>
        </w:tc>
      </w:tr>
    </w:tbl>
    <w:p w14:paraId="37459EC5" w14:textId="77777777" w:rsidR="002B51FA" w:rsidRDefault="002B51FA">
      <w:pPr>
        <w:spacing w:before="8"/>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9480"/>
      </w:tblGrid>
      <w:tr w:rsidR="002B51FA" w14:paraId="37459EC8" w14:textId="77777777">
        <w:tc>
          <w:tcPr>
            <w:tcW w:w="600" w:type="dxa"/>
            <w:tcBorders>
              <w:top w:val="single" w:sz="1" w:space="0" w:color="D0CDC8"/>
              <w:bottom w:val="single" w:sz="1" w:space="0" w:color="D0CDC8"/>
            </w:tcBorders>
            <w:shd w:val="clear" w:color="auto" w:fill="FAFAF8"/>
            <w:tcMar>
              <w:top w:w="100" w:type="dxa"/>
              <w:left w:w="0" w:type="dxa"/>
              <w:bottom w:w="100" w:type="dxa"/>
              <w:right w:w="120" w:type="dxa"/>
            </w:tcMar>
          </w:tcPr>
          <w:p w14:paraId="37459EC6" w14:textId="77777777" w:rsidR="002B51FA" w:rsidRDefault="00EE142C">
            <w:pPr>
              <w:jc w:val="right"/>
            </w:pPr>
            <w:r>
              <w:rPr>
                <w:rFonts w:ascii="Georgia" w:eastAsia="Georgia" w:hAnsi="Georgia" w:cs="Georgia"/>
                <w:b/>
                <w:bCs/>
                <w:color w:val="C0332F"/>
                <w:sz w:val="28"/>
                <w:szCs w:val="28"/>
              </w:rPr>
              <w:lastRenderedPageBreak/>
              <w:t>3</w:t>
            </w:r>
          </w:p>
        </w:tc>
        <w:tc>
          <w:tcPr>
            <w:tcW w:w="9480" w:type="dxa"/>
            <w:tcBorders>
              <w:top w:val="single" w:sz="1" w:space="0" w:color="D0CDC8"/>
              <w:bottom w:val="single" w:sz="1" w:space="0" w:color="D0CDC8"/>
            </w:tcBorders>
            <w:shd w:val="clear" w:color="auto" w:fill="FAFAF8"/>
            <w:tcMar>
              <w:top w:w="100" w:type="dxa"/>
              <w:left w:w="120" w:type="dxa"/>
              <w:bottom w:w="100" w:type="dxa"/>
              <w:right w:w="0" w:type="dxa"/>
            </w:tcMar>
          </w:tcPr>
          <w:p w14:paraId="37459EC7" w14:textId="77777777" w:rsidR="002B51FA" w:rsidRDefault="00EE142C">
            <w:r>
              <w:rPr>
                <w:rFonts w:ascii="Georgia" w:eastAsia="Georgia" w:hAnsi="Georgia" w:cs="Georgia"/>
                <w:b/>
                <w:bCs/>
                <w:color w:val="1A1A1A"/>
              </w:rPr>
              <w:t xml:space="preserve">Fayette County is a persistent hotspot.  </w:t>
            </w:r>
            <w:r>
              <w:rPr>
                <w:rFonts w:ascii="Georgia" w:eastAsia="Georgia" w:hAnsi="Georgia" w:cs="Georgia"/>
                <w:color w:val="444444"/>
              </w:rPr>
              <w:t xml:space="preserve"> With 114 confirmed cases, Fayette accounts for 12.2% of all positives. The Central Bluegrass corridor (Scott, Madison, Woodford, Mercer, Jessamine) collectively accounts for nearly one-third of all statewide positives.</w:t>
            </w:r>
          </w:p>
        </w:tc>
      </w:tr>
    </w:tbl>
    <w:p w14:paraId="37459EC9" w14:textId="77777777" w:rsidR="002B51FA" w:rsidRDefault="002B51FA">
      <w:pPr>
        <w:spacing w:before="8"/>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9480"/>
      </w:tblGrid>
      <w:tr w:rsidR="002B51FA" w14:paraId="37459ECC" w14:textId="77777777">
        <w:tc>
          <w:tcPr>
            <w:tcW w:w="600" w:type="dxa"/>
            <w:tcBorders>
              <w:top w:val="single" w:sz="1" w:space="0" w:color="D0CDC8"/>
              <w:bottom w:val="single" w:sz="1" w:space="0" w:color="D0CDC8"/>
            </w:tcBorders>
            <w:shd w:val="clear" w:color="auto" w:fill="FAFAF8"/>
            <w:tcMar>
              <w:top w:w="100" w:type="dxa"/>
              <w:left w:w="0" w:type="dxa"/>
              <w:bottom w:w="100" w:type="dxa"/>
              <w:right w:w="120" w:type="dxa"/>
            </w:tcMar>
          </w:tcPr>
          <w:p w14:paraId="37459ECA" w14:textId="77777777" w:rsidR="002B51FA" w:rsidRDefault="00EE142C">
            <w:pPr>
              <w:jc w:val="right"/>
            </w:pPr>
            <w:r>
              <w:rPr>
                <w:rFonts w:ascii="Georgia" w:eastAsia="Georgia" w:hAnsi="Georgia" w:cs="Georgia"/>
                <w:b/>
                <w:bCs/>
                <w:color w:val="C0332F"/>
                <w:sz w:val="28"/>
                <w:szCs w:val="28"/>
              </w:rPr>
              <w:t>4</w:t>
            </w:r>
          </w:p>
        </w:tc>
        <w:tc>
          <w:tcPr>
            <w:tcW w:w="9480" w:type="dxa"/>
            <w:tcBorders>
              <w:top w:val="single" w:sz="1" w:space="0" w:color="D0CDC8"/>
              <w:bottom w:val="single" w:sz="1" w:space="0" w:color="D0CDC8"/>
            </w:tcBorders>
            <w:shd w:val="clear" w:color="auto" w:fill="FAFAF8"/>
            <w:tcMar>
              <w:top w:w="100" w:type="dxa"/>
              <w:left w:w="120" w:type="dxa"/>
              <w:bottom w:w="100" w:type="dxa"/>
              <w:right w:w="0" w:type="dxa"/>
            </w:tcMar>
          </w:tcPr>
          <w:p w14:paraId="37459ECB" w14:textId="77777777" w:rsidR="002B51FA" w:rsidRDefault="00EE142C">
            <w:r>
              <w:rPr>
                <w:rFonts w:ascii="Georgia" w:eastAsia="Georgia" w:hAnsi="Georgia" w:cs="Georgia"/>
                <w:b/>
                <w:bCs/>
                <w:color w:val="1A1A1A"/>
              </w:rPr>
              <w:t xml:space="preserve">Two distinct seasonal windows.  </w:t>
            </w:r>
            <w:r>
              <w:rPr>
                <w:rFonts w:ascii="Georgia" w:eastAsia="Georgia" w:hAnsi="Georgia" w:cs="Georgia"/>
                <w:color w:val="444444"/>
              </w:rPr>
              <w:t xml:space="preserve"> March–April has the highest positivity rate (3.1–3.0%). August has the highest raw case count (129 total). December is the quietest month (30 cases, 1.3% rate).</w:t>
            </w:r>
          </w:p>
        </w:tc>
      </w:tr>
    </w:tbl>
    <w:p w14:paraId="37459ECD" w14:textId="77777777" w:rsidR="002B51FA" w:rsidRDefault="002B51FA">
      <w:pPr>
        <w:spacing w:before="8"/>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9480"/>
      </w:tblGrid>
      <w:tr w:rsidR="002B51FA" w14:paraId="37459ED0" w14:textId="77777777">
        <w:tc>
          <w:tcPr>
            <w:tcW w:w="600" w:type="dxa"/>
            <w:tcBorders>
              <w:top w:val="single" w:sz="1" w:space="0" w:color="D0CDC8"/>
              <w:bottom w:val="single" w:sz="1" w:space="0" w:color="D0CDC8"/>
            </w:tcBorders>
            <w:shd w:val="clear" w:color="auto" w:fill="FAFAF8"/>
            <w:tcMar>
              <w:top w:w="100" w:type="dxa"/>
              <w:left w:w="0" w:type="dxa"/>
              <w:bottom w:w="100" w:type="dxa"/>
              <w:right w:w="120" w:type="dxa"/>
            </w:tcMar>
          </w:tcPr>
          <w:p w14:paraId="37459ECE" w14:textId="77777777" w:rsidR="002B51FA" w:rsidRDefault="00EE142C">
            <w:pPr>
              <w:jc w:val="right"/>
            </w:pPr>
            <w:r>
              <w:rPr>
                <w:rFonts w:ascii="Georgia" w:eastAsia="Georgia" w:hAnsi="Georgia" w:cs="Georgia"/>
                <w:b/>
                <w:bCs/>
                <w:color w:val="C0332F"/>
                <w:sz w:val="28"/>
                <w:szCs w:val="28"/>
              </w:rPr>
              <w:t>5</w:t>
            </w:r>
          </w:p>
        </w:tc>
        <w:tc>
          <w:tcPr>
            <w:tcW w:w="9480" w:type="dxa"/>
            <w:tcBorders>
              <w:top w:val="single" w:sz="1" w:space="0" w:color="D0CDC8"/>
              <w:bottom w:val="single" w:sz="1" w:space="0" w:color="D0CDC8"/>
            </w:tcBorders>
            <w:shd w:val="clear" w:color="auto" w:fill="FAFAF8"/>
            <w:tcMar>
              <w:top w:w="100" w:type="dxa"/>
              <w:left w:w="120" w:type="dxa"/>
              <w:bottom w:w="100" w:type="dxa"/>
              <w:right w:w="0" w:type="dxa"/>
            </w:tcMar>
          </w:tcPr>
          <w:p w14:paraId="37459ECF" w14:textId="77777777" w:rsidR="002B51FA" w:rsidRDefault="00EE142C">
            <w:r>
              <w:rPr>
                <w:rFonts w:ascii="Georgia" w:eastAsia="Georgia" w:hAnsi="Georgia" w:cs="Georgia"/>
                <w:b/>
                <w:bCs/>
                <w:color w:val="1A1A1A"/>
              </w:rPr>
              <w:t xml:space="preserve">Summer peak is most consistent.  </w:t>
            </w:r>
            <w:r>
              <w:rPr>
                <w:rFonts w:ascii="Georgia" w:eastAsia="Georgia" w:hAnsi="Georgia" w:cs="Georgia"/>
                <w:color w:val="444444"/>
              </w:rPr>
              <w:t xml:space="preserve"> The June–August cluster is the most reliably recurring seasonal pattern. Spring spikes are more variable year to year.</w:t>
            </w:r>
          </w:p>
        </w:tc>
      </w:tr>
    </w:tbl>
    <w:p w14:paraId="37459ED1" w14:textId="77777777" w:rsidR="002B51FA" w:rsidRDefault="002B51FA">
      <w:pPr>
        <w:spacing w:before="8"/>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9480"/>
      </w:tblGrid>
      <w:tr w:rsidR="002B51FA" w14:paraId="37459ED4" w14:textId="77777777">
        <w:tc>
          <w:tcPr>
            <w:tcW w:w="600" w:type="dxa"/>
            <w:tcBorders>
              <w:top w:val="single" w:sz="1" w:space="0" w:color="D0CDC8"/>
              <w:bottom w:val="single" w:sz="1" w:space="0" w:color="D0CDC8"/>
            </w:tcBorders>
            <w:shd w:val="clear" w:color="auto" w:fill="FAFAF8"/>
            <w:tcMar>
              <w:top w:w="100" w:type="dxa"/>
              <w:left w:w="0" w:type="dxa"/>
              <w:bottom w:w="100" w:type="dxa"/>
              <w:right w:w="120" w:type="dxa"/>
            </w:tcMar>
          </w:tcPr>
          <w:p w14:paraId="37459ED2" w14:textId="77777777" w:rsidR="002B51FA" w:rsidRDefault="00EE142C">
            <w:pPr>
              <w:jc w:val="right"/>
            </w:pPr>
            <w:r>
              <w:rPr>
                <w:rFonts w:ascii="Georgia" w:eastAsia="Georgia" w:hAnsi="Georgia" w:cs="Georgia"/>
                <w:b/>
                <w:bCs/>
                <w:color w:val="C0332F"/>
                <w:sz w:val="28"/>
                <w:szCs w:val="28"/>
              </w:rPr>
              <w:t>6</w:t>
            </w:r>
          </w:p>
        </w:tc>
        <w:tc>
          <w:tcPr>
            <w:tcW w:w="9480" w:type="dxa"/>
            <w:tcBorders>
              <w:top w:val="single" w:sz="1" w:space="0" w:color="D0CDC8"/>
              <w:bottom w:val="single" w:sz="1" w:space="0" w:color="D0CDC8"/>
            </w:tcBorders>
            <w:shd w:val="clear" w:color="auto" w:fill="FAFAF8"/>
            <w:tcMar>
              <w:top w:w="100" w:type="dxa"/>
              <w:left w:w="120" w:type="dxa"/>
              <w:bottom w:w="100" w:type="dxa"/>
              <w:right w:w="0" w:type="dxa"/>
            </w:tcMar>
          </w:tcPr>
          <w:p w14:paraId="37459ED3" w14:textId="77777777" w:rsidR="002B51FA" w:rsidRDefault="00EE142C">
            <w:r>
              <w:rPr>
                <w:rFonts w:ascii="Georgia" w:eastAsia="Georgia" w:hAnsi="Georgia" w:cs="Georgia"/>
                <w:b/>
                <w:bCs/>
                <w:color w:val="1A1A1A"/>
              </w:rPr>
              <w:t xml:space="preserve">Data quality consideration.  </w:t>
            </w:r>
            <w:r>
              <w:rPr>
                <w:rFonts w:ascii="Georgia" w:eastAsia="Georgia" w:hAnsi="Georgia" w:cs="Georgia"/>
                <w:color w:val="444444"/>
              </w:rPr>
              <w:t xml:space="preserve"> Approximately 12% of records are missing an exposure type field, and 10 records have no county assignment. These gaps should be addressed in future data collection.</w:t>
            </w:r>
          </w:p>
        </w:tc>
      </w:tr>
    </w:tbl>
    <w:p w14:paraId="37459ED5" w14:textId="77777777" w:rsidR="002B51FA" w:rsidRDefault="002B51FA">
      <w:pPr>
        <w:spacing w:before="120"/>
      </w:pPr>
    </w:p>
    <w:p w14:paraId="37459ED6" w14:textId="77777777" w:rsidR="002B51FA" w:rsidRDefault="00EE142C">
      <w:pPr>
        <w:pStyle w:val="Heading1"/>
        <w:pBdr>
          <w:bottom w:val="single" w:sz="8" w:space="4" w:color="1A1A1A"/>
        </w:pBdr>
      </w:pPr>
      <w:r>
        <w:t>Temporal Trends</w:t>
      </w:r>
    </w:p>
    <w:p w14:paraId="37459ED7" w14:textId="77777777" w:rsidR="002B51FA" w:rsidRDefault="00EE142C">
      <w:pPr>
        <w:spacing w:before="60" w:after="120"/>
      </w:pPr>
      <w:r>
        <w:rPr>
          <w:rFonts w:ascii="Georgia" w:eastAsia="Georgia" w:hAnsi="Georgia" w:cs="Georgia"/>
          <w:color w:val="444444"/>
        </w:rPr>
        <w:t>Annual testing volumes and positive case counts over the 37-year study period reveal clear phases: a high-activity outbreak period in the late 1980s through mid-1990s, a sustained decline through the 2000s, and a relatively stable modern surveillance era from 2010 onward.</w:t>
      </w:r>
    </w:p>
    <w:p w14:paraId="37459ED8" w14:textId="77777777" w:rsidR="002B51FA" w:rsidRDefault="00EE142C">
      <w:pPr>
        <w:spacing w:before="100" w:after="60"/>
      </w:pPr>
      <w:r>
        <w:rPr>
          <w:noProof/>
        </w:rPr>
        <w:drawing>
          <wp:inline distT="0" distB="0" distL="0" distR="0" wp14:anchorId="37459F0F" wp14:editId="37459F10">
            <wp:extent cx="4800600" cy="1781175"/>
            <wp:effectExtent l="0" t="0" r="0" b="0"/>
            <wp:docPr id="1" name="fig1_trend.png" descr="fig1_trend.png" title="fig1_tr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800600" cy="1781175"/>
                    </a:xfrm>
                    <a:prstGeom prst="rect">
                      <a:avLst/>
                    </a:prstGeom>
                  </pic:spPr>
                </pic:pic>
              </a:graphicData>
            </a:graphic>
          </wp:inline>
        </w:drawing>
      </w:r>
    </w:p>
    <w:p w14:paraId="37459ED9" w14:textId="77777777" w:rsidR="002B51FA" w:rsidRDefault="00EE142C">
      <w:pPr>
        <w:spacing w:before="40" w:after="160"/>
      </w:pPr>
      <w:r>
        <w:rPr>
          <w:i/>
          <w:iCs/>
          <w:color w:val="666666"/>
          <w:sz w:val="18"/>
          <w:szCs w:val="18"/>
        </w:rPr>
        <w:t>Figure 1. Bars represent positive cases (left axis); dashed line represents total tests submitted (right axis). 2026 is partial-year data as of May 22.</w:t>
      </w:r>
    </w:p>
    <w:p w14:paraId="37459EDA" w14:textId="77777777" w:rsidR="002B51FA" w:rsidRDefault="002B51FA">
      <w:pPr>
        <w:spacing w:before="8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
        <w:gridCol w:w="9920"/>
      </w:tblGrid>
      <w:tr w:rsidR="002B51FA" w14:paraId="37459EDD" w14:textId="77777777">
        <w:tblPrEx>
          <w:tblCellMar>
            <w:top w:w="0" w:type="dxa"/>
            <w:bottom w:w="0" w:type="dxa"/>
          </w:tblCellMar>
        </w:tblPrEx>
        <w:tc>
          <w:tcPr>
            <w:tcW w:w="160" w:type="dxa"/>
            <w:tcBorders>
              <w:top w:val="single" w:sz="1" w:space="0" w:color="D0CDC8"/>
              <w:left w:val="single" w:sz="12" w:space="0" w:color="C0332F"/>
              <w:bottom w:val="single" w:sz="1" w:space="0" w:color="D0CDC8"/>
            </w:tcBorders>
            <w:shd w:val="clear" w:color="auto" w:fill="F5F4F2"/>
            <w:tcMar>
              <w:top w:w="80" w:type="dxa"/>
              <w:left w:w="120" w:type="dxa"/>
              <w:bottom w:w="80" w:type="dxa"/>
              <w:right w:w="0" w:type="dxa"/>
            </w:tcMar>
          </w:tcPr>
          <w:p w14:paraId="37459EDB" w14:textId="77777777" w:rsidR="002B51FA" w:rsidRDefault="002B51FA"/>
        </w:tc>
        <w:tc>
          <w:tcPr>
            <w:tcW w:w="9920" w:type="dxa"/>
            <w:tcBorders>
              <w:top w:val="single" w:sz="1" w:space="0" w:color="D0CDC8"/>
              <w:bottom w:val="single" w:sz="1" w:space="0" w:color="D0CDC8"/>
              <w:right w:val="single" w:sz="1" w:space="0" w:color="D0CDC8"/>
            </w:tcBorders>
            <w:shd w:val="clear" w:color="auto" w:fill="F5F4F2"/>
            <w:tcMar>
              <w:top w:w="80" w:type="dxa"/>
              <w:left w:w="160" w:type="dxa"/>
              <w:bottom w:w="80" w:type="dxa"/>
              <w:right w:w="160" w:type="dxa"/>
            </w:tcMar>
          </w:tcPr>
          <w:p w14:paraId="37459EDC" w14:textId="77777777" w:rsidR="002B51FA" w:rsidRDefault="00EE142C">
            <w:r>
              <w:rPr>
                <w:rFonts w:ascii="Georgia" w:eastAsia="Georgia" w:hAnsi="Georgia" w:cs="Georgia"/>
                <w:b/>
                <w:bCs/>
                <w:color w:val="C0332F"/>
              </w:rPr>
              <w:t xml:space="preserve">Notable: </w:t>
            </w:r>
            <w:r>
              <w:rPr>
                <w:rFonts w:ascii="Georgia" w:eastAsia="Georgia" w:hAnsi="Georgia" w:cs="Georgia"/>
                <w:color w:val="444444"/>
              </w:rPr>
              <w:t>The 2024–2025 uptick (23 and 26 positives respectively) represents the highest consecutive two-year totals since 2008–2009. Testing volume has also increased, so the positivity rate remains near the historical average — but the absolute case counts merit attention.</w:t>
            </w:r>
          </w:p>
        </w:tc>
      </w:tr>
    </w:tbl>
    <w:p w14:paraId="37459EDE" w14:textId="77777777" w:rsidR="002B51FA" w:rsidRDefault="002B51FA">
      <w:pPr>
        <w:spacing w:before="120"/>
      </w:pPr>
    </w:p>
    <w:p w14:paraId="37459EDF" w14:textId="77777777" w:rsidR="002B51FA" w:rsidRDefault="00EE142C">
      <w:pPr>
        <w:pStyle w:val="Heading1"/>
        <w:pBdr>
          <w:bottom w:val="single" w:sz="8" w:space="4" w:color="1A1A1A"/>
        </w:pBdr>
      </w:pPr>
      <w:r>
        <w:t>Geographic Distribution</w:t>
      </w:r>
    </w:p>
    <w:p w14:paraId="37459EE0" w14:textId="77777777" w:rsidR="002B51FA" w:rsidRDefault="00EE142C">
      <w:pPr>
        <w:spacing w:before="60" w:after="120"/>
      </w:pPr>
      <w:r>
        <w:rPr>
          <w:rFonts w:ascii="Georgia" w:eastAsia="Georgia" w:hAnsi="Georgia" w:cs="Georgia"/>
          <w:color w:val="444444"/>
        </w:rPr>
        <w:t>Positive rabies cases are not uniformly distributed across Kentucky. The Central Bluegrass region — particularly Fayette, Scott, Madison, Woodford, Mercer, and Jessamine counties — accounts for a disproportionate share of confirmed positives. This cluster likely reflects favorable wildlife habitat (forest edges, creek corridors), high domestic animal density, and robust testing infrastructure.</w:t>
      </w:r>
    </w:p>
    <w:p w14:paraId="37459EE1" w14:textId="77777777" w:rsidR="002B51FA" w:rsidRDefault="00EE142C">
      <w:pPr>
        <w:spacing w:before="100" w:after="60"/>
      </w:pPr>
      <w:r>
        <w:rPr>
          <w:noProof/>
        </w:rPr>
        <w:lastRenderedPageBreak/>
        <w:drawing>
          <wp:inline distT="0" distB="0" distL="0" distR="0" wp14:anchorId="37459F11" wp14:editId="37459F12">
            <wp:extent cx="4800600" cy="2667000"/>
            <wp:effectExtent l="0" t="0" r="0" b="0"/>
            <wp:docPr id="1642153318" name="fig3_counties.png" descr="fig3_counties.png" title="fig3_coun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4800600" cy="2667000"/>
                    </a:xfrm>
                    <a:prstGeom prst="rect">
                      <a:avLst/>
                    </a:prstGeom>
                  </pic:spPr>
                </pic:pic>
              </a:graphicData>
            </a:graphic>
          </wp:inline>
        </w:drawing>
      </w:r>
    </w:p>
    <w:p w14:paraId="37459EE2" w14:textId="77777777" w:rsidR="002B51FA" w:rsidRDefault="00EE142C">
      <w:pPr>
        <w:spacing w:before="40" w:after="160"/>
      </w:pPr>
      <w:r>
        <w:rPr>
          <w:i/>
          <w:iCs/>
          <w:color w:val="666666"/>
          <w:sz w:val="18"/>
          <w:szCs w:val="18"/>
        </w:rPr>
        <w:t>Figure 2. Top 15 Kentucky counties by confirmed positive cases, all years combined (1989–2026).</w:t>
      </w:r>
    </w:p>
    <w:p w14:paraId="37459EE3" w14:textId="77777777" w:rsidR="002B51FA" w:rsidRDefault="002B51FA">
      <w:pPr>
        <w:spacing w:before="8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
        <w:gridCol w:w="9920"/>
      </w:tblGrid>
      <w:tr w:rsidR="002B51FA" w14:paraId="37459EE6" w14:textId="77777777">
        <w:tblPrEx>
          <w:tblCellMar>
            <w:top w:w="0" w:type="dxa"/>
            <w:bottom w:w="0" w:type="dxa"/>
          </w:tblCellMar>
        </w:tblPrEx>
        <w:tc>
          <w:tcPr>
            <w:tcW w:w="160" w:type="dxa"/>
            <w:tcBorders>
              <w:top w:val="single" w:sz="1" w:space="0" w:color="D0CDC8"/>
              <w:left w:val="single" w:sz="12" w:space="0" w:color="C0332F"/>
              <w:bottom w:val="single" w:sz="1" w:space="0" w:color="D0CDC8"/>
            </w:tcBorders>
            <w:shd w:val="clear" w:color="auto" w:fill="F5F4F2"/>
            <w:tcMar>
              <w:top w:w="80" w:type="dxa"/>
              <w:left w:w="120" w:type="dxa"/>
              <w:bottom w:w="80" w:type="dxa"/>
              <w:right w:w="0" w:type="dxa"/>
            </w:tcMar>
          </w:tcPr>
          <w:p w14:paraId="37459EE4" w14:textId="77777777" w:rsidR="002B51FA" w:rsidRDefault="002B51FA"/>
        </w:tc>
        <w:tc>
          <w:tcPr>
            <w:tcW w:w="9920" w:type="dxa"/>
            <w:tcBorders>
              <w:top w:val="single" w:sz="1" w:space="0" w:color="D0CDC8"/>
              <w:bottom w:val="single" w:sz="1" w:space="0" w:color="D0CDC8"/>
              <w:right w:val="single" w:sz="1" w:space="0" w:color="D0CDC8"/>
            </w:tcBorders>
            <w:shd w:val="clear" w:color="auto" w:fill="F5F4F2"/>
            <w:tcMar>
              <w:top w:w="80" w:type="dxa"/>
              <w:left w:w="160" w:type="dxa"/>
              <w:bottom w:w="80" w:type="dxa"/>
              <w:right w:w="160" w:type="dxa"/>
            </w:tcMar>
          </w:tcPr>
          <w:p w14:paraId="37459EE5" w14:textId="77777777" w:rsidR="002B51FA" w:rsidRDefault="00EE142C">
            <w:r>
              <w:rPr>
                <w:rFonts w:ascii="Georgia" w:eastAsia="Georgia" w:hAnsi="Georgia" w:cs="Georgia"/>
                <w:b/>
                <w:bCs/>
                <w:color w:val="C0332F"/>
              </w:rPr>
              <w:t xml:space="preserve">Central Bluegrass Cluster: </w:t>
            </w:r>
            <w:r>
              <w:rPr>
                <w:rFonts w:ascii="Georgia" w:eastAsia="Georgia" w:hAnsi="Georgia" w:cs="Georgia"/>
                <w:color w:val="444444"/>
              </w:rPr>
              <w:t>The five-county cluster (Fayette, Scott, Madison, Woodford, Jessamine) collectively accounts for 266 confirmed positives — 28.5% of all positives statewide — despite covering a modest geographic footprint.</w:t>
            </w:r>
          </w:p>
        </w:tc>
      </w:tr>
    </w:tbl>
    <w:p w14:paraId="37459EE7" w14:textId="77777777" w:rsidR="002B51FA" w:rsidRDefault="002B51FA">
      <w:pPr>
        <w:spacing w:before="6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
        <w:gridCol w:w="9920"/>
      </w:tblGrid>
      <w:tr w:rsidR="002B51FA" w14:paraId="37459EEA" w14:textId="77777777">
        <w:tblPrEx>
          <w:tblCellMar>
            <w:top w:w="0" w:type="dxa"/>
            <w:bottom w:w="0" w:type="dxa"/>
          </w:tblCellMar>
        </w:tblPrEx>
        <w:tc>
          <w:tcPr>
            <w:tcW w:w="160" w:type="dxa"/>
            <w:tcBorders>
              <w:top w:val="single" w:sz="1" w:space="0" w:color="D0CDC8"/>
              <w:left w:val="single" w:sz="12" w:space="0" w:color="185FA5"/>
              <w:bottom w:val="single" w:sz="1" w:space="0" w:color="D0CDC8"/>
            </w:tcBorders>
            <w:shd w:val="clear" w:color="auto" w:fill="F5F4F2"/>
            <w:tcMar>
              <w:top w:w="80" w:type="dxa"/>
              <w:left w:w="120" w:type="dxa"/>
              <w:bottom w:w="80" w:type="dxa"/>
              <w:right w:w="0" w:type="dxa"/>
            </w:tcMar>
          </w:tcPr>
          <w:p w14:paraId="37459EE8" w14:textId="77777777" w:rsidR="002B51FA" w:rsidRDefault="002B51FA"/>
        </w:tc>
        <w:tc>
          <w:tcPr>
            <w:tcW w:w="9920" w:type="dxa"/>
            <w:tcBorders>
              <w:top w:val="single" w:sz="1" w:space="0" w:color="D0CDC8"/>
              <w:bottom w:val="single" w:sz="1" w:space="0" w:color="D0CDC8"/>
              <w:right w:val="single" w:sz="1" w:space="0" w:color="D0CDC8"/>
            </w:tcBorders>
            <w:shd w:val="clear" w:color="auto" w:fill="F5F4F2"/>
            <w:tcMar>
              <w:top w:w="80" w:type="dxa"/>
              <w:left w:w="160" w:type="dxa"/>
              <w:bottom w:w="80" w:type="dxa"/>
              <w:right w:w="160" w:type="dxa"/>
            </w:tcMar>
          </w:tcPr>
          <w:p w14:paraId="37459EE9" w14:textId="77777777" w:rsidR="002B51FA" w:rsidRDefault="00EE142C">
            <w:r>
              <w:rPr>
                <w:rFonts w:ascii="Georgia" w:eastAsia="Georgia" w:hAnsi="Georgia" w:cs="Georgia"/>
                <w:b/>
                <w:bCs/>
                <w:color w:val="185FA5"/>
              </w:rPr>
              <w:t xml:space="preserve">Eastern Kentucky Note: </w:t>
            </w:r>
            <w:r>
              <w:rPr>
                <w:rFonts w:ascii="Georgia" w:eastAsia="Georgia" w:hAnsi="Georgia" w:cs="Georgia"/>
                <w:color w:val="444444"/>
              </w:rPr>
              <w:t>Eastern Kentucky counties (Floyd, Pike, Harlan, Knox) show lower positive counts despite substantial wildlife habitat, which may reflect lower testing submission rates rather than true lower prevalence.</w:t>
            </w:r>
          </w:p>
        </w:tc>
      </w:tr>
    </w:tbl>
    <w:p w14:paraId="37459EEB" w14:textId="77777777" w:rsidR="002B51FA" w:rsidRDefault="002B51FA">
      <w:pPr>
        <w:spacing w:before="120"/>
      </w:pPr>
    </w:p>
    <w:p w14:paraId="37459EEC" w14:textId="77777777" w:rsidR="002B51FA" w:rsidRDefault="00EE142C">
      <w:pPr>
        <w:pStyle w:val="Heading1"/>
        <w:pBdr>
          <w:bottom w:val="single" w:sz="8" w:space="4" w:color="1A1A1A"/>
        </w:pBdr>
      </w:pPr>
      <w:r>
        <w:t>Seasonal Patterns</w:t>
      </w:r>
    </w:p>
    <w:p w14:paraId="37459EED" w14:textId="77777777" w:rsidR="002B51FA" w:rsidRDefault="00EE142C">
      <w:pPr>
        <w:spacing w:before="60" w:after="120"/>
      </w:pPr>
      <w:r>
        <w:rPr>
          <w:rFonts w:ascii="Georgia" w:eastAsia="Georgia" w:hAnsi="Georgia" w:cs="Georgia"/>
          <w:color w:val="444444"/>
        </w:rPr>
        <w:t>Analysis of the full 37-year dataset reveals pronounced seasonal variation in both the volume and rate of positive detections. Two distinct risk windows emerge, each driven by different ecological mechanisms.</w:t>
      </w:r>
    </w:p>
    <w:p w14:paraId="37459EEE" w14:textId="77777777" w:rsidR="002B51FA" w:rsidRDefault="00EE142C">
      <w:pPr>
        <w:spacing w:before="100" w:after="60"/>
      </w:pPr>
      <w:r>
        <w:rPr>
          <w:noProof/>
        </w:rPr>
        <w:drawing>
          <wp:inline distT="0" distB="0" distL="0" distR="0" wp14:anchorId="37459F13" wp14:editId="37459F14">
            <wp:extent cx="4800600" cy="2190750"/>
            <wp:effectExtent l="0" t="0" r="0" b="0"/>
            <wp:docPr id="237921088" name="fig4_seasonal.png" descr="fig4_seasonal.png" title="fig4_seaso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4800600" cy="2190750"/>
                    </a:xfrm>
                    <a:prstGeom prst="rect">
                      <a:avLst/>
                    </a:prstGeom>
                  </pic:spPr>
                </pic:pic>
              </a:graphicData>
            </a:graphic>
          </wp:inline>
        </w:drawing>
      </w:r>
    </w:p>
    <w:p w14:paraId="37459EEF" w14:textId="77777777" w:rsidR="002B51FA" w:rsidRDefault="00EE142C">
      <w:pPr>
        <w:spacing w:before="40" w:after="160"/>
      </w:pPr>
      <w:r>
        <w:rPr>
          <w:i/>
          <w:iCs/>
          <w:color w:val="666666"/>
          <w:sz w:val="18"/>
          <w:szCs w:val="18"/>
        </w:rPr>
        <w:t>Figure 3. Seasonal breakdown: Summer has the highest case count (324); Spring has the highest positivity rate (2.8%). Winter is the quietest season on both measures.</w:t>
      </w:r>
    </w:p>
    <w:p w14:paraId="37459EF0" w14:textId="77777777" w:rsidR="002B51FA" w:rsidRDefault="002B51FA">
      <w:pPr>
        <w:spacing w:before="100"/>
      </w:pPr>
    </w:p>
    <w:p w14:paraId="37459EF1" w14:textId="77777777" w:rsidR="002B51FA" w:rsidRDefault="00EE142C">
      <w:pPr>
        <w:spacing w:before="100" w:after="60"/>
      </w:pPr>
      <w:r>
        <w:rPr>
          <w:noProof/>
        </w:rPr>
        <w:lastRenderedPageBreak/>
        <w:drawing>
          <wp:inline distT="0" distB="0" distL="0" distR="0" wp14:anchorId="37459F15" wp14:editId="37459F16">
            <wp:extent cx="4800600" cy="1876425"/>
            <wp:effectExtent l="0" t="0" r="0" b="0"/>
            <wp:docPr id="1902440677" name="fig2_monthly.png" descr="fig2_monthly.png" title="fig2_month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4800600" cy="1876425"/>
                    </a:xfrm>
                    <a:prstGeom prst="rect">
                      <a:avLst/>
                    </a:prstGeom>
                  </pic:spPr>
                </pic:pic>
              </a:graphicData>
            </a:graphic>
          </wp:inline>
        </w:drawing>
      </w:r>
    </w:p>
    <w:p w14:paraId="37459EF2" w14:textId="77777777" w:rsidR="002B51FA" w:rsidRDefault="00EE142C">
      <w:pPr>
        <w:spacing w:before="40" w:after="160"/>
      </w:pPr>
      <w:r>
        <w:rPr>
          <w:i/>
          <w:iCs/>
          <w:color w:val="666666"/>
          <w:sz w:val="18"/>
          <w:szCs w:val="18"/>
        </w:rPr>
        <w:t>Figure 4. Monthly positive cases and positivity rate (all years combined). August peaks in raw cases (129); March peaks in positivity rate (3.15%). December is the quietest month.</w:t>
      </w:r>
    </w:p>
    <w:p w14:paraId="37459EF3" w14:textId="77777777" w:rsidR="002B51FA" w:rsidRDefault="002B51FA">
      <w:pPr>
        <w:spacing w:before="100"/>
      </w:pPr>
    </w:p>
    <w:p w14:paraId="37459EF4" w14:textId="77777777" w:rsidR="002B51FA" w:rsidRDefault="00EE142C">
      <w:pPr>
        <w:spacing w:before="100" w:after="60"/>
      </w:pPr>
      <w:r>
        <w:rPr>
          <w:noProof/>
        </w:rPr>
        <w:drawing>
          <wp:inline distT="0" distB="0" distL="0" distR="0" wp14:anchorId="37459F17" wp14:editId="37459F18">
            <wp:extent cx="4800600" cy="2533650"/>
            <wp:effectExtent l="0" t="0" r="0" b="0"/>
            <wp:docPr id="726539131" name="fig5_heatmap.png" descr="fig5_heatmap.png" title="fig5_heat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800600" cy="2533650"/>
                    </a:xfrm>
                    <a:prstGeom prst="rect">
                      <a:avLst/>
                    </a:prstGeom>
                  </pic:spPr>
                </pic:pic>
              </a:graphicData>
            </a:graphic>
          </wp:inline>
        </w:drawing>
      </w:r>
    </w:p>
    <w:p w14:paraId="37459EF5" w14:textId="77777777" w:rsidR="002B51FA" w:rsidRDefault="00EE142C">
      <w:pPr>
        <w:spacing w:before="40" w:after="160"/>
      </w:pPr>
      <w:r>
        <w:rPr>
          <w:i/>
          <w:iCs/>
          <w:color w:val="666666"/>
          <w:sz w:val="18"/>
          <w:szCs w:val="18"/>
        </w:rPr>
        <w:t>Figure 5. Year × month heatmap of positive cases, 2010–2025. Each cell shows case count for that month/year. Darker red = more cases. The June–August cluster is the most consistently recurring pattern.</w:t>
      </w:r>
    </w:p>
    <w:p w14:paraId="37459EF6" w14:textId="77777777" w:rsidR="002B51FA" w:rsidRDefault="002B51FA">
      <w:pPr>
        <w:spacing w:before="80"/>
      </w:pPr>
    </w:p>
    <w:p w14:paraId="37459EF7" w14:textId="77777777" w:rsidR="002B51FA" w:rsidRDefault="00EE142C">
      <w:pPr>
        <w:spacing w:before="60" w:after="120"/>
      </w:pPr>
      <w:r>
        <w:rPr>
          <w:rFonts w:ascii="Georgia" w:eastAsia="Georgia" w:hAnsi="Georgia" w:cs="Georgia"/>
          <w:color w:val="444444"/>
        </w:rPr>
        <w:t>The year-by-month heatmap confirms that the summer peak (June–August) is the most reliable seasonal signal in the data. High-intensity cells (5+ cases in a single month) cluster almost exclusively in the summer period. By contrast, the spring peak in positivity rate reflects a period when fewer tests are submitted, so a moderate number of positives translates to an elevated rate.</w:t>
      </w:r>
    </w:p>
    <w:p w14:paraId="37459EF8" w14:textId="77777777" w:rsidR="002B51FA" w:rsidRDefault="002B51FA">
      <w:pPr>
        <w:spacing w:before="120"/>
      </w:pPr>
    </w:p>
    <w:p w14:paraId="37459EF9" w14:textId="77777777" w:rsidR="002B51FA" w:rsidRDefault="00EE142C">
      <w:pPr>
        <w:pStyle w:val="Heading1"/>
        <w:pBdr>
          <w:bottom w:val="single" w:sz="8" w:space="4" w:color="1A1A1A"/>
        </w:pBdr>
      </w:pPr>
      <w:r>
        <w:t>Public Health Implications</w:t>
      </w:r>
    </w:p>
    <w:p w14:paraId="37459EFA" w14:textId="77777777" w:rsidR="002B51FA" w:rsidRDefault="002B51FA">
      <w:pPr>
        <w:spacing w:before="6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
        <w:gridCol w:w="9920"/>
      </w:tblGrid>
      <w:tr w:rsidR="002B51FA" w14:paraId="37459EFD" w14:textId="77777777">
        <w:tblPrEx>
          <w:tblCellMar>
            <w:top w:w="0" w:type="dxa"/>
            <w:bottom w:w="0" w:type="dxa"/>
          </w:tblCellMar>
        </w:tblPrEx>
        <w:tc>
          <w:tcPr>
            <w:tcW w:w="160" w:type="dxa"/>
            <w:tcBorders>
              <w:top w:val="single" w:sz="1" w:space="0" w:color="D0CDC8"/>
              <w:left w:val="single" w:sz="12" w:space="0" w:color="C0332F"/>
              <w:bottom w:val="single" w:sz="1" w:space="0" w:color="D0CDC8"/>
            </w:tcBorders>
            <w:shd w:val="clear" w:color="auto" w:fill="F5F4F2"/>
            <w:tcMar>
              <w:top w:w="80" w:type="dxa"/>
              <w:left w:w="120" w:type="dxa"/>
              <w:bottom w:w="80" w:type="dxa"/>
              <w:right w:w="0" w:type="dxa"/>
            </w:tcMar>
          </w:tcPr>
          <w:p w14:paraId="37459EFB" w14:textId="77777777" w:rsidR="002B51FA" w:rsidRDefault="002B51FA"/>
        </w:tc>
        <w:tc>
          <w:tcPr>
            <w:tcW w:w="9920" w:type="dxa"/>
            <w:tcBorders>
              <w:top w:val="single" w:sz="1" w:space="0" w:color="D0CDC8"/>
              <w:bottom w:val="single" w:sz="1" w:space="0" w:color="D0CDC8"/>
              <w:right w:val="single" w:sz="1" w:space="0" w:color="D0CDC8"/>
            </w:tcBorders>
            <w:shd w:val="clear" w:color="auto" w:fill="F5F4F2"/>
            <w:tcMar>
              <w:top w:w="80" w:type="dxa"/>
              <w:left w:w="160" w:type="dxa"/>
              <w:bottom w:w="80" w:type="dxa"/>
              <w:right w:w="160" w:type="dxa"/>
            </w:tcMar>
          </w:tcPr>
          <w:p w14:paraId="37459EFC" w14:textId="77777777" w:rsidR="002B51FA" w:rsidRDefault="00EE142C">
            <w:r>
              <w:rPr>
                <w:rFonts w:ascii="Georgia" w:eastAsia="Georgia" w:hAnsi="Georgia" w:cs="Georgia"/>
                <w:b/>
                <w:bCs/>
                <w:color w:val="C0332F"/>
              </w:rPr>
              <w:t xml:space="preserve">Spring window (March–April): </w:t>
            </w:r>
            <w:r>
              <w:rPr>
                <w:rFonts w:ascii="Georgia" w:eastAsia="Georgia" w:hAnsi="Georgia" w:cs="Georgia"/>
                <w:color w:val="444444"/>
              </w:rPr>
              <w:t>Although absolute case counts are lower, the elevated positivity rate (3.1%) suggests animals tested during this period are more likely to be positive. Enhanced post-exposure prophylaxis (PEP) guidance and public awareness campaigns should be prioritized during late winter through early spring, coinciding with increased wildlife activity following hibernation.</w:t>
            </w:r>
          </w:p>
        </w:tc>
      </w:tr>
    </w:tbl>
    <w:p w14:paraId="37459EFE" w14:textId="77777777" w:rsidR="002B51FA" w:rsidRDefault="002B51FA">
      <w:pPr>
        <w:spacing w:before="8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
        <w:gridCol w:w="9920"/>
      </w:tblGrid>
      <w:tr w:rsidR="002B51FA" w14:paraId="37459F01" w14:textId="77777777">
        <w:tblPrEx>
          <w:tblCellMar>
            <w:top w:w="0" w:type="dxa"/>
            <w:bottom w:w="0" w:type="dxa"/>
          </w:tblCellMar>
        </w:tblPrEx>
        <w:tc>
          <w:tcPr>
            <w:tcW w:w="160" w:type="dxa"/>
            <w:tcBorders>
              <w:top w:val="single" w:sz="1" w:space="0" w:color="D0CDC8"/>
              <w:left w:val="single" w:sz="12" w:space="0" w:color="C0332F"/>
              <w:bottom w:val="single" w:sz="1" w:space="0" w:color="D0CDC8"/>
            </w:tcBorders>
            <w:shd w:val="clear" w:color="auto" w:fill="F5F4F2"/>
            <w:tcMar>
              <w:top w:w="80" w:type="dxa"/>
              <w:left w:w="120" w:type="dxa"/>
              <w:bottom w:w="80" w:type="dxa"/>
              <w:right w:w="0" w:type="dxa"/>
            </w:tcMar>
          </w:tcPr>
          <w:p w14:paraId="37459EFF" w14:textId="77777777" w:rsidR="002B51FA" w:rsidRDefault="002B51FA"/>
        </w:tc>
        <w:tc>
          <w:tcPr>
            <w:tcW w:w="9920" w:type="dxa"/>
            <w:tcBorders>
              <w:top w:val="single" w:sz="1" w:space="0" w:color="D0CDC8"/>
              <w:bottom w:val="single" w:sz="1" w:space="0" w:color="D0CDC8"/>
              <w:right w:val="single" w:sz="1" w:space="0" w:color="D0CDC8"/>
            </w:tcBorders>
            <w:shd w:val="clear" w:color="auto" w:fill="F5F4F2"/>
            <w:tcMar>
              <w:top w:w="80" w:type="dxa"/>
              <w:left w:w="160" w:type="dxa"/>
              <w:bottom w:w="80" w:type="dxa"/>
              <w:right w:w="160" w:type="dxa"/>
            </w:tcMar>
          </w:tcPr>
          <w:p w14:paraId="37459F00" w14:textId="77777777" w:rsidR="002B51FA" w:rsidRDefault="00EE142C">
            <w:r>
              <w:rPr>
                <w:rFonts w:ascii="Georgia" w:eastAsia="Georgia" w:hAnsi="Georgia" w:cs="Georgia"/>
                <w:b/>
                <w:bCs/>
                <w:color w:val="C0332F"/>
              </w:rPr>
              <w:t xml:space="preserve">Summer peak (June–August): </w:t>
            </w:r>
            <w:r>
              <w:rPr>
                <w:rFonts w:ascii="Georgia" w:eastAsia="Georgia" w:hAnsi="Georgia" w:cs="Georgia"/>
                <w:color w:val="444444"/>
              </w:rPr>
              <w:t>The highest raw case volume occurs in summer. Outreach to veterinarians, animal control agencies, and the public about domestic animal vaccination and exposure reporting should be intensified ahead of the June–August period annually.</w:t>
            </w:r>
          </w:p>
        </w:tc>
      </w:tr>
    </w:tbl>
    <w:p w14:paraId="37459F02" w14:textId="77777777" w:rsidR="002B51FA" w:rsidRDefault="002B51FA">
      <w:pPr>
        <w:spacing w:before="8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
        <w:gridCol w:w="9920"/>
      </w:tblGrid>
      <w:tr w:rsidR="002B51FA" w14:paraId="37459F05" w14:textId="77777777">
        <w:tblPrEx>
          <w:tblCellMar>
            <w:top w:w="0" w:type="dxa"/>
            <w:bottom w:w="0" w:type="dxa"/>
          </w:tblCellMar>
        </w:tblPrEx>
        <w:tc>
          <w:tcPr>
            <w:tcW w:w="160" w:type="dxa"/>
            <w:tcBorders>
              <w:top w:val="single" w:sz="1" w:space="0" w:color="D0CDC8"/>
              <w:left w:val="single" w:sz="12" w:space="0" w:color="185FA5"/>
              <w:bottom w:val="single" w:sz="1" w:space="0" w:color="D0CDC8"/>
            </w:tcBorders>
            <w:shd w:val="clear" w:color="auto" w:fill="F5F4F2"/>
            <w:tcMar>
              <w:top w:w="80" w:type="dxa"/>
              <w:left w:w="120" w:type="dxa"/>
              <w:bottom w:w="80" w:type="dxa"/>
              <w:right w:w="0" w:type="dxa"/>
            </w:tcMar>
          </w:tcPr>
          <w:p w14:paraId="37459F03" w14:textId="77777777" w:rsidR="002B51FA" w:rsidRDefault="002B51FA"/>
        </w:tc>
        <w:tc>
          <w:tcPr>
            <w:tcW w:w="9920" w:type="dxa"/>
            <w:tcBorders>
              <w:top w:val="single" w:sz="1" w:space="0" w:color="D0CDC8"/>
              <w:bottom w:val="single" w:sz="1" w:space="0" w:color="D0CDC8"/>
              <w:right w:val="single" w:sz="1" w:space="0" w:color="D0CDC8"/>
            </w:tcBorders>
            <w:shd w:val="clear" w:color="auto" w:fill="F5F4F2"/>
            <w:tcMar>
              <w:top w:w="80" w:type="dxa"/>
              <w:left w:w="160" w:type="dxa"/>
              <w:bottom w:w="80" w:type="dxa"/>
              <w:right w:w="160" w:type="dxa"/>
            </w:tcMar>
          </w:tcPr>
          <w:p w14:paraId="37459F04" w14:textId="77777777" w:rsidR="002B51FA" w:rsidRDefault="00EE142C">
            <w:r>
              <w:rPr>
                <w:rFonts w:ascii="Georgia" w:eastAsia="Georgia" w:hAnsi="Georgia" w:cs="Georgia"/>
                <w:b/>
                <w:bCs/>
                <w:color w:val="185FA5"/>
              </w:rPr>
              <w:t xml:space="preserve">Central Bluegrass focus: </w:t>
            </w:r>
            <w:r>
              <w:rPr>
                <w:rFonts w:ascii="Georgia" w:eastAsia="Georgia" w:hAnsi="Georgia" w:cs="Georgia"/>
                <w:color w:val="444444"/>
              </w:rPr>
              <w:t>The persistent geographic cluster centered on Fayette County warrants targeted interventions — including oral rabies vaccine (ORV) baiting programs, wildlife surveillance, and veterinary compliance monitoring — given the concentration of cases relative to other regions.</w:t>
            </w:r>
          </w:p>
        </w:tc>
      </w:tr>
    </w:tbl>
    <w:p w14:paraId="37459F06" w14:textId="77777777" w:rsidR="002B51FA" w:rsidRDefault="002B51FA">
      <w:pPr>
        <w:spacing w:before="8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
        <w:gridCol w:w="9920"/>
      </w:tblGrid>
      <w:tr w:rsidR="002B51FA" w14:paraId="37459F09" w14:textId="77777777">
        <w:tblPrEx>
          <w:tblCellMar>
            <w:top w:w="0" w:type="dxa"/>
            <w:bottom w:w="0" w:type="dxa"/>
          </w:tblCellMar>
        </w:tblPrEx>
        <w:tc>
          <w:tcPr>
            <w:tcW w:w="160" w:type="dxa"/>
            <w:tcBorders>
              <w:top w:val="single" w:sz="1" w:space="0" w:color="D0CDC8"/>
              <w:left w:val="single" w:sz="12" w:space="0" w:color="185FA5"/>
              <w:bottom w:val="single" w:sz="1" w:space="0" w:color="D0CDC8"/>
            </w:tcBorders>
            <w:shd w:val="clear" w:color="auto" w:fill="F5F4F2"/>
            <w:tcMar>
              <w:top w:w="80" w:type="dxa"/>
              <w:left w:w="120" w:type="dxa"/>
              <w:bottom w:w="80" w:type="dxa"/>
              <w:right w:w="0" w:type="dxa"/>
            </w:tcMar>
          </w:tcPr>
          <w:p w14:paraId="37459F07" w14:textId="77777777" w:rsidR="002B51FA" w:rsidRDefault="002B51FA"/>
        </w:tc>
        <w:tc>
          <w:tcPr>
            <w:tcW w:w="9920" w:type="dxa"/>
            <w:tcBorders>
              <w:top w:val="single" w:sz="1" w:space="0" w:color="D0CDC8"/>
              <w:bottom w:val="single" w:sz="1" w:space="0" w:color="D0CDC8"/>
              <w:right w:val="single" w:sz="1" w:space="0" w:color="D0CDC8"/>
            </w:tcBorders>
            <w:shd w:val="clear" w:color="auto" w:fill="F5F4F2"/>
            <w:tcMar>
              <w:top w:w="80" w:type="dxa"/>
              <w:left w:w="160" w:type="dxa"/>
              <w:bottom w:w="80" w:type="dxa"/>
              <w:right w:w="160" w:type="dxa"/>
            </w:tcMar>
          </w:tcPr>
          <w:p w14:paraId="37459F08" w14:textId="77777777" w:rsidR="002B51FA" w:rsidRDefault="00EE142C">
            <w:r>
              <w:rPr>
                <w:rFonts w:ascii="Georgia" w:eastAsia="Georgia" w:hAnsi="Georgia" w:cs="Georgia"/>
                <w:b/>
                <w:bCs/>
                <w:color w:val="185FA5"/>
              </w:rPr>
              <w:t xml:space="preserve">2024–2025 uptick: </w:t>
            </w:r>
            <w:r>
              <w:rPr>
                <w:rFonts w:ascii="Georgia" w:eastAsia="Georgia" w:hAnsi="Georgia" w:cs="Georgia"/>
                <w:color w:val="444444"/>
              </w:rPr>
              <w:t>The recent elevation in case counts across two consecutive years should be monitored closely. If the trend continues into 2026, a formal outbreak investigation may be warranted.</w:t>
            </w:r>
          </w:p>
        </w:tc>
      </w:tr>
    </w:tbl>
    <w:p w14:paraId="37459F0A" w14:textId="77777777" w:rsidR="002B51FA" w:rsidRDefault="002B51FA">
      <w:pPr>
        <w:spacing w:before="120"/>
      </w:pPr>
    </w:p>
    <w:p w14:paraId="37459F0B" w14:textId="77777777" w:rsidR="002B51FA" w:rsidRDefault="00EE142C">
      <w:pPr>
        <w:pStyle w:val="Heading1"/>
        <w:pBdr>
          <w:bottom w:val="single" w:sz="8" w:space="4" w:color="1A1A1A"/>
        </w:pBdr>
      </w:pPr>
      <w:r>
        <w:t>Data Notes</w:t>
      </w:r>
    </w:p>
    <w:p w14:paraId="37459F0C" w14:textId="77777777" w:rsidR="002B51FA" w:rsidRDefault="00EE142C">
      <w:pPr>
        <w:spacing w:before="60" w:after="120"/>
      </w:pPr>
      <w:r>
        <w:rPr>
          <w:rFonts w:ascii="Georgia" w:eastAsia="Georgia" w:hAnsi="Georgia" w:cs="Georgia"/>
          <w:color w:val="444444"/>
        </w:rPr>
        <w:t>This analysis is based on the Kentucky Rabies Database as of May 22, 2026, containing 39,967 specimen records spanning January 1989 through May 2026. The dataset includes fields for specimen ID, submission date, test result, exposure type, county, and state.</w:t>
      </w:r>
    </w:p>
    <w:p w14:paraId="37459F0D" w14:textId="77777777" w:rsidR="002B51FA" w:rsidRDefault="00EE142C">
      <w:pPr>
        <w:spacing w:before="60" w:after="120"/>
      </w:pPr>
      <w:r>
        <w:rPr>
          <w:rFonts w:ascii="Georgia" w:eastAsia="Georgia" w:hAnsi="Georgia" w:cs="Georgia"/>
          <w:b/>
          <w:bCs/>
          <w:color w:val="1A1A1A"/>
        </w:rPr>
        <w:t xml:space="preserve">Data quality: </w:t>
      </w:r>
      <w:r>
        <w:rPr>
          <w:rFonts w:ascii="Georgia" w:eastAsia="Georgia" w:hAnsi="Georgia" w:cs="Georgia"/>
          <w:color w:val="444444"/>
        </w:rPr>
        <w:t>Approximately 4,793 records (12.0%) are missing an exposure type classification. Ten records have no county assignment. The 2026 data represent a partial year (through May 22) and should not be used for annual rate comparisons.</w:t>
      </w:r>
    </w:p>
    <w:p w14:paraId="37459F0E" w14:textId="77777777" w:rsidR="002B51FA" w:rsidRDefault="00EE142C">
      <w:pPr>
        <w:spacing w:before="60" w:after="120"/>
      </w:pPr>
      <w:r>
        <w:rPr>
          <w:rFonts w:ascii="Georgia" w:eastAsia="Georgia" w:hAnsi="Georgia" w:cs="Georgia"/>
          <w:b/>
          <w:bCs/>
          <w:color w:val="1A1A1A"/>
        </w:rPr>
        <w:t xml:space="preserve">Positivity rate calculation: </w:t>
      </w:r>
      <w:r>
        <w:rPr>
          <w:rFonts w:ascii="Georgia" w:eastAsia="Georgia" w:hAnsi="Georgia" w:cs="Georgia"/>
          <w:color w:val="444444"/>
        </w:rPr>
        <w:t>Rates are calculated as confirmed positive tests divided by total tests submitted. All percentage figures are rounded to one decimal place.</w:t>
      </w:r>
    </w:p>
    <w:sectPr w:rsidR="002B51FA">
      <w:headerReference w:type="default" r:id="rId12"/>
      <w:footerReference w:type="default" r:id="rId13"/>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43411" w14:textId="77777777" w:rsidR="00EE142C" w:rsidRDefault="00EE142C">
      <w:r>
        <w:separator/>
      </w:r>
    </w:p>
  </w:endnote>
  <w:endnote w:type="continuationSeparator" w:id="0">
    <w:p w14:paraId="6EE47893" w14:textId="77777777" w:rsidR="00EE142C" w:rsidRDefault="00EE1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9F1A" w14:textId="083922D4" w:rsidR="002B51FA" w:rsidRDefault="00EE142C">
    <w:pPr>
      <w:pBdr>
        <w:top w:val="single" w:sz="2" w:space="4" w:color="D0CDC8"/>
      </w:pBdr>
      <w:tabs>
        <w:tab w:val="right" w:pos="9026"/>
      </w:tabs>
    </w:pPr>
    <w:r>
      <w:rPr>
        <w:color w:val="666666"/>
        <w:sz w:val="16"/>
        <w:szCs w:val="16"/>
      </w:rPr>
      <w:t>Kentucky Department for Public Health</w:t>
    </w:r>
    <w:r w:rsidR="005B1E71">
      <w:rPr>
        <w:color w:val="666666"/>
        <w:sz w:val="16"/>
        <w:szCs w:val="16"/>
      </w:rPr>
      <w:t xml:space="preserve"> &amp; University of Kentucky Veterinary Diagnostic Laboratory</w:t>
    </w:r>
    <w:r>
      <w:rPr>
        <w:color w:val="666666"/>
        <w:sz w:val="16"/>
        <w:szCs w:val="16"/>
      </w:rPr>
      <w:tab/>
      <w:t xml:space="preserve">Page </w:t>
    </w:r>
    <w:r>
      <w:rPr>
        <w:color w:val="666666"/>
        <w:sz w:val="16"/>
        <w:szCs w:val="16"/>
      </w:rPr>
      <w:fldChar w:fldCharType="begin"/>
    </w:r>
    <w:r>
      <w:rPr>
        <w:color w:val="666666"/>
        <w:sz w:val="16"/>
        <w:szCs w:val="16"/>
      </w:rPr>
      <w:instrText>PAGE</w:instrText>
    </w:r>
    <w:r>
      <w:rPr>
        <w:color w:val="666666"/>
        <w:sz w:val="16"/>
        <w:szCs w:val="16"/>
      </w:rPr>
      <w:fldChar w:fldCharType="separate"/>
    </w:r>
    <w:r w:rsidR="005B1E71">
      <w:rPr>
        <w:noProof/>
        <w:color w:val="666666"/>
        <w:sz w:val="16"/>
        <w:szCs w:val="16"/>
      </w:rPr>
      <w:t>1</w:t>
    </w:r>
    <w:r>
      <w:rPr>
        <w:color w:val="666666"/>
        <w:sz w:val="16"/>
        <w:szCs w:val="16"/>
      </w:rPr>
      <w:fldChar w:fldCharType="end"/>
    </w:r>
    <w:r>
      <w:rPr>
        <w:color w:val="666666"/>
        <w:sz w:val="16"/>
        <w:szCs w:val="16"/>
      </w:rPr>
      <w:t xml:space="preserve"> of </w:t>
    </w:r>
    <w:r>
      <w:rPr>
        <w:color w:val="666666"/>
        <w:sz w:val="16"/>
        <w:szCs w:val="16"/>
      </w:rPr>
      <w:fldChar w:fldCharType="begin"/>
    </w:r>
    <w:r>
      <w:rPr>
        <w:color w:val="666666"/>
        <w:sz w:val="16"/>
        <w:szCs w:val="16"/>
      </w:rPr>
      <w:instrText>NUMPAGES</w:instrText>
    </w:r>
    <w:r>
      <w:rPr>
        <w:color w:val="666666"/>
        <w:sz w:val="16"/>
        <w:szCs w:val="16"/>
      </w:rPr>
      <w:fldChar w:fldCharType="separate"/>
    </w:r>
    <w:r w:rsidR="005B1E71">
      <w:rPr>
        <w:noProof/>
        <w:color w:val="666666"/>
        <w:sz w:val="16"/>
        <w:szCs w:val="16"/>
      </w:rPr>
      <w:t>2</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B2A8C" w14:textId="77777777" w:rsidR="00EE142C" w:rsidRDefault="00EE142C">
      <w:r>
        <w:separator/>
      </w:r>
    </w:p>
  </w:footnote>
  <w:footnote w:type="continuationSeparator" w:id="0">
    <w:p w14:paraId="3B6E2D90" w14:textId="77777777" w:rsidR="00EE142C" w:rsidRDefault="00EE1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9F19" w14:textId="77777777" w:rsidR="002B51FA" w:rsidRDefault="00EE142C">
    <w:pPr>
      <w:pBdr>
        <w:bottom w:val="single" w:sz="2" w:space="4" w:color="D0CDC8"/>
      </w:pBdr>
      <w:tabs>
        <w:tab w:val="right" w:pos="9026"/>
      </w:tabs>
    </w:pPr>
    <w:r>
      <w:rPr>
        <w:color w:val="666666"/>
        <w:sz w:val="16"/>
        <w:szCs w:val="16"/>
      </w:rPr>
      <w:t>Kentucky Rabies Surveillance Report</w:t>
    </w:r>
    <w:r>
      <w:rPr>
        <w:color w:val="666666"/>
        <w:sz w:val="16"/>
        <w:szCs w:val="16"/>
      </w:rPr>
      <w:tab/>
      <w:t>May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110F"/>
    <w:multiLevelType w:val="hybridMultilevel"/>
    <w:tmpl w:val="7A8AA5D0"/>
    <w:lvl w:ilvl="0" w:tplc="8C0C1A70">
      <w:start w:val="1"/>
      <w:numFmt w:val="bullet"/>
      <w:lvlText w:val="●"/>
      <w:lvlJc w:val="left"/>
      <w:pPr>
        <w:ind w:left="720" w:hanging="360"/>
      </w:pPr>
    </w:lvl>
    <w:lvl w:ilvl="1" w:tplc="C37CFB3E">
      <w:start w:val="1"/>
      <w:numFmt w:val="bullet"/>
      <w:lvlText w:val="○"/>
      <w:lvlJc w:val="left"/>
      <w:pPr>
        <w:ind w:left="1440" w:hanging="360"/>
      </w:pPr>
    </w:lvl>
    <w:lvl w:ilvl="2" w:tplc="45147654">
      <w:start w:val="1"/>
      <w:numFmt w:val="bullet"/>
      <w:lvlText w:val="■"/>
      <w:lvlJc w:val="left"/>
      <w:pPr>
        <w:ind w:left="2160" w:hanging="360"/>
      </w:pPr>
    </w:lvl>
    <w:lvl w:ilvl="3" w:tplc="F6DAA028">
      <w:start w:val="1"/>
      <w:numFmt w:val="bullet"/>
      <w:lvlText w:val="●"/>
      <w:lvlJc w:val="left"/>
      <w:pPr>
        <w:ind w:left="2880" w:hanging="360"/>
      </w:pPr>
    </w:lvl>
    <w:lvl w:ilvl="4" w:tplc="A4EC6E30">
      <w:start w:val="1"/>
      <w:numFmt w:val="bullet"/>
      <w:lvlText w:val="○"/>
      <w:lvlJc w:val="left"/>
      <w:pPr>
        <w:ind w:left="3600" w:hanging="360"/>
      </w:pPr>
    </w:lvl>
    <w:lvl w:ilvl="5" w:tplc="8214D53E">
      <w:start w:val="1"/>
      <w:numFmt w:val="bullet"/>
      <w:lvlText w:val="■"/>
      <w:lvlJc w:val="left"/>
      <w:pPr>
        <w:ind w:left="4320" w:hanging="360"/>
      </w:pPr>
    </w:lvl>
    <w:lvl w:ilvl="6" w:tplc="3552F0EC">
      <w:start w:val="1"/>
      <w:numFmt w:val="bullet"/>
      <w:lvlText w:val="●"/>
      <w:lvlJc w:val="left"/>
      <w:pPr>
        <w:ind w:left="5040" w:hanging="360"/>
      </w:pPr>
    </w:lvl>
    <w:lvl w:ilvl="7" w:tplc="0C4C042E">
      <w:start w:val="1"/>
      <w:numFmt w:val="bullet"/>
      <w:lvlText w:val="●"/>
      <w:lvlJc w:val="left"/>
      <w:pPr>
        <w:ind w:left="5760" w:hanging="360"/>
      </w:pPr>
    </w:lvl>
    <w:lvl w:ilvl="8" w:tplc="AFE0D35A">
      <w:start w:val="1"/>
      <w:numFmt w:val="bullet"/>
      <w:lvlText w:val="●"/>
      <w:lvlJc w:val="left"/>
      <w:pPr>
        <w:ind w:left="6480" w:hanging="360"/>
      </w:pPr>
    </w:lvl>
  </w:abstractNum>
  <w:num w:numId="1" w16cid:durableId="17098342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1FA"/>
    <w:rsid w:val="000E472A"/>
    <w:rsid w:val="002B51FA"/>
    <w:rsid w:val="005B1E71"/>
    <w:rsid w:val="00B50A6C"/>
    <w:rsid w:val="00EE1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59E9E"/>
  <w15:docId w15:val="{26C71266-785C-4E98-9176-E976E9E2C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80"/>
      <w:outlineLvl w:val="0"/>
    </w:pPr>
    <w:rPr>
      <w:b/>
      <w:bCs/>
      <w:color w:val="1A1A1A"/>
      <w:sz w:val="28"/>
      <w:szCs w:val="28"/>
    </w:rPr>
  </w:style>
  <w:style w:type="paragraph" w:styleId="Heading2">
    <w:name w:val="heading 2"/>
    <w:uiPriority w:val="9"/>
    <w:semiHidden/>
    <w:unhideWhenUsed/>
    <w:qFormat/>
    <w:pPr>
      <w:spacing w:before="280" w:after="60"/>
      <w:outlineLvl w:val="1"/>
    </w:pPr>
    <w:rPr>
      <w:b/>
      <w:bCs/>
      <w:color w:val="1A1A1A"/>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B1E71"/>
    <w:pPr>
      <w:tabs>
        <w:tab w:val="center" w:pos="4680"/>
        <w:tab w:val="right" w:pos="9360"/>
      </w:tabs>
    </w:pPr>
  </w:style>
  <w:style w:type="character" w:customStyle="1" w:styleId="HeaderChar">
    <w:name w:val="Header Char"/>
    <w:basedOn w:val="DefaultParagraphFont"/>
    <w:link w:val="Header"/>
    <w:uiPriority w:val="99"/>
    <w:rsid w:val="005B1E71"/>
  </w:style>
  <w:style w:type="paragraph" w:styleId="Footer">
    <w:name w:val="footer"/>
    <w:basedOn w:val="Normal"/>
    <w:link w:val="FooterChar"/>
    <w:uiPriority w:val="99"/>
    <w:unhideWhenUsed/>
    <w:rsid w:val="005B1E71"/>
    <w:pPr>
      <w:tabs>
        <w:tab w:val="center" w:pos="4680"/>
        <w:tab w:val="right" w:pos="9360"/>
      </w:tabs>
    </w:pPr>
  </w:style>
  <w:style w:type="character" w:customStyle="1" w:styleId="FooterChar">
    <w:name w:val="Footer Char"/>
    <w:basedOn w:val="DefaultParagraphFont"/>
    <w:link w:val="Footer"/>
    <w:uiPriority w:val="99"/>
    <w:rsid w:val="005B1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1138</Words>
  <Characters>6492</Characters>
  <Application>Microsoft Office Word</Application>
  <DocSecurity>0</DocSecurity>
  <Lines>54</Lines>
  <Paragraphs>15</Paragraphs>
  <ScaleCrop>false</ScaleCrop>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Smith, Jackie</cp:lastModifiedBy>
  <cp:revision>3</cp:revision>
  <dcterms:created xsi:type="dcterms:W3CDTF">2026-05-22T15:06:00Z</dcterms:created>
  <dcterms:modified xsi:type="dcterms:W3CDTF">2026-05-22T15:09:00Z</dcterms:modified>
</cp:coreProperties>
</file>